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48BF" w14:textId="0FADA474" w:rsidR="00094EB7" w:rsidRPr="006F6F55" w:rsidRDefault="00094EB7" w:rsidP="006F6F55">
      <w:pPr>
        <w:pStyle w:val="3GPPHeader"/>
        <w:spacing w:after="60"/>
        <w:rPr>
          <w:rFonts w:cs="Arial"/>
          <w:sz w:val="32"/>
          <w:szCs w:val="32"/>
          <w:highlight w:val="yellow"/>
        </w:rPr>
      </w:pPr>
      <w:r w:rsidRPr="006F6F55">
        <w:rPr>
          <w:rFonts w:cs="Arial"/>
        </w:rPr>
        <w:t>3GPP TSG-RAN WG</w:t>
      </w:r>
      <w:r w:rsidR="00B475EA" w:rsidRPr="006F6F55">
        <w:rPr>
          <w:rFonts w:cs="Arial"/>
        </w:rPr>
        <w:t>4</w:t>
      </w:r>
      <w:r w:rsidRPr="006F6F55">
        <w:rPr>
          <w:rFonts w:cs="Arial"/>
        </w:rPr>
        <w:t xml:space="preserve"> Meeting #10</w:t>
      </w:r>
      <w:r w:rsidR="00CE76EC" w:rsidRPr="006F6F55">
        <w:rPr>
          <w:rFonts w:cs="Arial"/>
        </w:rPr>
        <w:t>8</w:t>
      </w:r>
      <w:r w:rsidR="00286685">
        <w:rPr>
          <w:rFonts w:cs="Arial"/>
        </w:rPr>
        <w:t>-bis</w:t>
      </w:r>
      <w:r w:rsidRPr="006F6F55">
        <w:rPr>
          <w:rFonts w:cs="Arial"/>
        </w:rPr>
        <w:tab/>
      </w:r>
      <w:r w:rsidRPr="00726161">
        <w:rPr>
          <w:rFonts w:cs="Arial"/>
          <w:sz w:val="32"/>
          <w:szCs w:val="32"/>
        </w:rPr>
        <w:t>R4-</w:t>
      </w:r>
      <w:r w:rsidR="00D11E88" w:rsidRPr="00726161">
        <w:rPr>
          <w:rFonts w:cs="Arial"/>
          <w:sz w:val="32"/>
          <w:szCs w:val="32"/>
        </w:rPr>
        <w:t>2315444</w:t>
      </w:r>
    </w:p>
    <w:p w14:paraId="11B8405D" w14:textId="77777777" w:rsidR="009348A7" w:rsidRPr="007124EE" w:rsidRDefault="009348A7" w:rsidP="009348A7">
      <w:pPr>
        <w:spacing w:after="120"/>
        <w:ind w:left="1985" w:hanging="1985"/>
        <w:jc w:val="both"/>
        <w:rPr>
          <w:rFonts w:eastAsiaTheme="minorEastAsia" w:cs="Arial"/>
          <w:b/>
          <w:sz w:val="24"/>
          <w:szCs w:val="24"/>
        </w:rPr>
      </w:pPr>
      <w:r>
        <w:rPr>
          <w:rFonts w:eastAsiaTheme="minorEastAsia" w:cs="Arial"/>
          <w:b/>
          <w:sz w:val="24"/>
          <w:szCs w:val="24"/>
        </w:rPr>
        <w:t>Xiamen, China</w:t>
      </w:r>
      <w:r w:rsidRPr="007124EE">
        <w:rPr>
          <w:rFonts w:eastAsiaTheme="minorEastAsia" w:cs="Arial"/>
          <w:b/>
          <w:sz w:val="24"/>
          <w:szCs w:val="24"/>
        </w:rPr>
        <w:t xml:space="preserve">, </w:t>
      </w:r>
      <w:r>
        <w:rPr>
          <w:rFonts w:cs="Arial"/>
          <w:b/>
          <w:sz w:val="24"/>
          <w:szCs w:val="24"/>
        </w:rPr>
        <w:t>October 9-13</w:t>
      </w:r>
      <w:r w:rsidRPr="007124EE">
        <w:rPr>
          <w:rFonts w:cs="Arial"/>
          <w:b/>
          <w:bCs/>
          <w:sz w:val="24"/>
          <w:szCs w:val="24"/>
        </w:rPr>
        <w:t>, 2023</w:t>
      </w:r>
    </w:p>
    <w:p w14:paraId="3512DB6B" w14:textId="77777777" w:rsidR="00094EB7" w:rsidRPr="006F6F55" w:rsidRDefault="00094EB7" w:rsidP="006F6F55">
      <w:pPr>
        <w:pStyle w:val="3GPPHeader"/>
        <w:rPr>
          <w:rFonts w:cs="Arial"/>
        </w:rPr>
      </w:pPr>
    </w:p>
    <w:p w14:paraId="2F7870D0" w14:textId="00FED3B9" w:rsidR="00094EB7" w:rsidRPr="003B1A7D" w:rsidRDefault="00094EB7" w:rsidP="006F6F55">
      <w:pPr>
        <w:pStyle w:val="3GPPHeader"/>
        <w:rPr>
          <w:rFonts w:cs="Arial"/>
          <w:sz w:val="22"/>
        </w:rPr>
      </w:pPr>
      <w:r w:rsidRPr="003B1A7D">
        <w:rPr>
          <w:rFonts w:cs="Arial"/>
          <w:sz w:val="22"/>
        </w:rPr>
        <w:t>Agenda Item:</w:t>
      </w:r>
      <w:r w:rsidRPr="003B1A7D">
        <w:rPr>
          <w:rFonts w:cs="Arial"/>
          <w:sz w:val="22"/>
        </w:rPr>
        <w:tab/>
      </w:r>
      <w:r w:rsidR="003B1A7D" w:rsidRPr="003B1A7D">
        <w:rPr>
          <w:rFonts w:cs="Arial"/>
          <w:sz w:val="22"/>
        </w:rPr>
        <w:t>5.13.1.2</w:t>
      </w:r>
    </w:p>
    <w:p w14:paraId="3A8CA657" w14:textId="77777777" w:rsidR="00094EB7" w:rsidRPr="003B1A7D" w:rsidRDefault="00094EB7" w:rsidP="006F6F55">
      <w:pPr>
        <w:pStyle w:val="3GPPHeader"/>
        <w:rPr>
          <w:rFonts w:cs="Arial"/>
          <w:sz w:val="22"/>
        </w:rPr>
      </w:pPr>
      <w:r w:rsidRPr="003B1A7D">
        <w:rPr>
          <w:rFonts w:cs="Arial"/>
          <w:sz w:val="22"/>
        </w:rPr>
        <w:t>Source:</w:t>
      </w:r>
      <w:r w:rsidRPr="003B1A7D">
        <w:rPr>
          <w:rFonts w:cs="Arial"/>
          <w:sz w:val="22"/>
        </w:rPr>
        <w:tab/>
        <w:t>Ericsson</w:t>
      </w:r>
    </w:p>
    <w:p w14:paraId="40D63C16" w14:textId="63107F17" w:rsidR="00094EB7" w:rsidRPr="003B1A7D" w:rsidRDefault="00094EB7" w:rsidP="006F6F55">
      <w:pPr>
        <w:pStyle w:val="3GPPHeader"/>
        <w:ind w:left="1700" w:hanging="1700"/>
        <w:rPr>
          <w:rFonts w:cs="Arial"/>
          <w:sz w:val="22"/>
          <w:lang w:val="en-IN"/>
        </w:rPr>
      </w:pPr>
      <w:r w:rsidRPr="003B1A7D">
        <w:rPr>
          <w:rFonts w:cs="Arial"/>
          <w:sz w:val="22"/>
        </w:rPr>
        <w:t>Title:</w:t>
      </w:r>
      <w:r w:rsidRPr="003B1A7D">
        <w:rPr>
          <w:rFonts w:cs="Arial"/>
          <w:sz w:val="22"/>
        </w:rPr>
        <w:tab/>
      </w:r>
      <w:r w:rsidR="00EA595D" w:rsidRPr="003B1A7D">
        <w:rPr>
          <w:rFonts w:cs="Arial"/>
          <w:sz w:val="22"/>
        </w:rPr>
        <w:t>Non-synchronized scenarios network layout</w:t>
      </w:r>
    </w:p>
    <w:p w14:paraId="75CBE1B8" w14:textId="6A79B0F7" w:rsidR="00094EB7" w:rsidRPr="003B1A7D" w:rsidRDefault="00094EB7" w:rsidP="006F6F55">
      <w:pPr>
        <w:pStyle w:val="3GPPHeader"/>
        <w:rPr>
          <w:rFonts w:cs="Arial"/>
          <w:sz w:val="22"/>
          <w:lang w:val="en-IN"/>
        </w:rPr>
      </w:pPr>
      <w:r w:rsidRPr="003B1A7D">
        <w:rPr>
          <w:rFonts w:cs="Arial"/>
          <w:sz w:val="22"/>
        </w:rPr>
        <w:t>Type:</w:t>
      </w:r>
      <w:r w:rsidRPr="003B1A7D">
        <w:rPr>
          <w:rFonts w:cs="Arial"/>
          <w:sz w:val="22"/>
        </w:rPr>
        <w:tab/>
      </w:r>
      <w:r w:rsidR="00400C22" w:rsidRPr="003B1A7D">
        <w:rPr>
          <w:rFonts w:cs="Arial"/>
          <w:sz w:val="22"/>
        </w:rPr>
        <w:t>Discussion</w:t>
      </w:r>
    </w:p>
    <w:p w14:paraId="299F45DC" w14:textId="5986D429" w:rsidR="00094EB7" w:rsidRPr="006F6F55" w:rsidRDefault="00094EB7" w:rsidP="006F6F55">
      <w:pPr>
        <w:pStyle w:val="3GPPHeader"/>
        <w:rPr>
          <w:rFonts w:cs="Arial"/>
          <w:sz w:val="22"/>
        </w:rPr>
      </w:pPr>
      <w:r w:rsidRPr="003B1A7D">
        <w:rPr>
          <w:rFonts w:cs="Arial"/>
          <w:sz w:val="22"/>
        </w:rPr>
        <w:t>Document for:</w:t>
      </w:r>
      <w:r w:rsidRPr="003B1A7D">
        <w:rPr>
          <w:rFonts w:cs="Arial"/>
          <w:sz w:val="22"/>
        </w:rPr>
        <w:tab/>
      </w:r>
      <w:r w:rsidR="00400C22" w:rsidRPr="003B1A7D">
        <w:rPr>
          <w:rFonts w:cs="Arial"/>
          <w:sz w:val="22"/>
        </w:rPr>
        <w:t>Discussion</w:t>
      </w:r>
    </w:p>
    <w:p w14:paraId="6B2D159E" w14:textId="77777777" w:rsidR="00FE276B" w:rsidRPr="006F6F55" w:rsidRDefault="00FE276B" w:rsidP="00090A7C">
      <w:pPr>
        <w:jc w:val="both"/>
        <w:rPr>
          <w:rFonts w:cs="Arial"/>
        </w:rPr>
      </w:pPr>
    </w:p>
    <w:p w14:paraId="3BA35139" w14:textId="77777777" w:rsidR="00FE276B" w:rsidRPr="006F6F55" w:rsidRDefault="00FE276B" w:rsidP="00090A7C">
      <w:pPr>
        <w:pStyle w:val="Heading1"/>
        <w:jc w:val="both"/>
        <w:rPr>
          <w:rFonts w:cs="Arial"/>
          <w:lang w:val="en-US"/>
        </w:rPr>
        <w:sectPr w:rsidR="00FE276B" w:rsidRPr="006F6F55"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6F6F55" w:rsidRDefault="00604627" w:rsidP="00090A7C">
      <w:pPr>
        <w:pStyle w:val="Heading1"/>
        <w:jc w:val="both"/>
        <w:rPr>
          <w:rFonts w:cs="Arial"/>
        </w:rPr>
      </w:pPr>
      <w:bookmarkStart w:id="0" w:name="_Ref178064866"/>
      <w:r w:rsidRPr="006F6F55">
        <w:rPr>
          <w:rFonts w:cs="Arial"/>
        </w:rPr>
        <w:t>1</w:t>
      </w:r>
      <w:r w:rsidRPr="006F6F55">
        <w:rPr>
          <w:rFonts w:cs="Arial"/>
        </w:rPr>
        <w:tab/>
        <w:t>Introduction</w:t>
      </w:r>
    </w:p>
    <w:bookmarkEnd w:id="0"/>
    <w:p w14:paraId="0BB5DFF4" w14:textId="77777777" w:rsidR="00F74C6E" w:rsidRPr="006F6F55" w:rsidRDefault="00F74C6E" w:rsidP="006F6F55">
      <w:pPr>
        <w:pStyle w:val="BodyText"/>
        <w:rPr>
          <w:rFonts w:cs="Arial"/>
        </w:rPr>
      </w:pPr>
    </w:p>
    <w:p w14:paraId="52631B77" w14:textId="7EF2674F" w:rsidR="00731F49" w:rsidRDefault="00024F24" w:rsidP="006F6F55">
      <w:pPr>
        <w:pStyle w:val="BodyText"/>
        <w:rPr>
          <w:rFonts w:cs="Arial"/>
        </w:rPr>
      </w:pPr>
      <w:r>
        <w:rPr>
          <w:rFonts w:cs="Arial"/>
        </w:rPr>
        <w:t xml:space="preserve">During the previous meetings </w:t>
      </w:r>
      <w:r>
        <w:rPr>
          <w:rFonts w:cs="Arial"/>
          <w:lang w:val="en-IN"/>
        </w:rPr>
        <w:t>– RAN</w:t>
      </w:r>
      <w:r w:rsidR="00FC7B88">
        <w:rPr>
          <w:rFonts w:cs="Arial"/>
        </w:rPr>
        <w:t xml:space="preserve">4#107 and RAN4#108, </w:t>
      </w:r>
      <w:r w:rsidR="006F5771">
        <w:rPr>
          <w:rFonts w:cs="Arial"/>
        </w:rPr>
        <w:t xml:space="preserve">there were multiple agreements </w:t>
      </w:r>
      <w:r w:rsidR="004F592B">
        <w:rPr>
          <w:rFonts w:cs="Arial"/>
        </w:rPr>
        <w:t>for the non-synchronized network layouts</w:t>
      </w:r>
      <w:r w:rsidR="00036EA9">
        <w:rPr>
          <w:rFonts w:cs="Arial"/>
        </w:rPr>
        <w:t xml:space="preserve">. </w:t>
      </w:r>
      <w:r w:rsidR="005E55EA">
        <w:rPr>
          <w:rFonts w:cs="Arial"/>
        </w:rPr>
        <w:t xml:space="preserve">The proposed figures </w:t>
      </w:r>
      <w:r w:rsidR="00FA0A04">
        <w:rPr>
          <w:rFonts w:cs="Arial"/>
        </w:rPr>
        <w:t xml:space="preserve">in WF [1] </w:t>
      </w:r>
      <w:r w:rsidR="00A26C53">
        <w:rPr>
          <w:rFonts w:cs="Arial"/>
        </w:rPr>
        <w:t xml:space="preserve">covered </w:t>
      </w:r>
      <w:r w:rsidR="005E55EA">
        <w:rPr>
          <w:rFonts w:cs="Arial"/>
        </w:rPr>
        <w:t>most of the agreements, while so</w:t>
      </w:r>
      <w:r w:rsidR="00035351">
        <w:rPr>
          <w:rFonts w:cs="Arial"/>
        </w:rPr>
        <w:t xml:space="preserve">me </w:t>
      </w:r>
      <w:r w:rsidR="008C14B3">
        <w:rPr>
          <w:rFonts w:cs="Arial"/>
        </w:rPr>
        <w:t>remain</w:t>
      </w:r>
      <w:r w:rsidR="00A26C53">
        <w:rPr>
          <w:rFonts w:cs="Arial"/>
        </w:rPr>
        <w:t xml:space="preserve"> to be addressed. </w:t>
      </w:r>
      <w:r w:rsidR="005E4E5A">
        <w:rPr>
          <w:rFonts w:cs="Arial"/>
        </w:rPr>
        <w:t xml:space="preserve"> </w:t>
      </w:r>
      <w:r w:rsidR="001039D9">
        <w:rPr>
          <w:rFonts w:cs="Arial"/>
        </w:rPr>
        <w:t xml:space="preserve"> </w:t>
      </w:r>
    </w:p>
    <w:p w14:paraId="6D74EA59" w14:textId="2466291C" w:rsidR="00F74C6E" w:rsidRDefault="001039D9" w:rsidP="006F6F55">
      <w:pPr>
        <w:pStyle w:val="BodyText"/>
        <w:rPr>
          <w:rFonts w:cs="Arial"/>
        </w:rPr>
      </w:pPr>
      <w:r>
        <w:rPr>
          <w:rFonts w:cs="Arial"/>
        </w:rPr>
        <w:br/>
        <w:t xml:space="preserve">In this document, we </w:t>
      </w:r>
      <w:r w:rsidR="00444F4E">
        <w:rPr>
          <w:rFonts w:cs="Arial"/>
        </w:rPr>
        <w:t>present our understandings o</w:t>
      </w:r>
      <w:r w:rsidR="004A3A63">
        <w:rPr>
          <w:rFonts w:cs="Arial"/>
        </w:rPr>
        <w:t>f</w:t>
      </w:r>
      <w:r>
        <w:rPr>
          <w:rFonts w:cs="Arial"/>
        </w:rPr>
        <w:t xml:space="preserve"> the </w:t>
      </w:r>
      <w:r w:rsidR="00221574">
        <w:rPr>
          <w:rFonts w:cs="Arial"/>
        </w:rPr>
        <w:t xml:space="preserve">non-synchronized scenarios </w:t>
      </w:r>
      <w:r w:rsidR="00932E22">
        <w:rPr>
          <w:rFonts w:cs="Arial"/>
        </w:rPr>
        <w:t xml:space="preserve">network layout for all the three </w:t>
      </w:r>
      <w:r w:rsidR="00A26C53">
        <w:rPr>
          <w:rFonts w:cs="Arial"/>
        </w:rPr>
        <w:t xml:space="preserve">agreed cases </w:t>
      </w:r>
      <w:r w:rsidR="00932E22">
        <w:rPr>
          <w:rFonts w:cs="Arial"/>
        </w:rPr>
        <w:t xml:space="preserve">with simple </w:t>
      </w:r>
      <w:r w:rsidR="00702163">
        <w:rPr>
          <w:rFonts w:cs="Arial"/>
        </w:rPr>
        <w:t>illustrative</w:t>
      </w:r>
      <w:r w:rsidR="00932E22">
        <w:rPr>
          <w:rFonts w:cs="Arial"/>
        </w:rPr>
        <w:t xml:space="preserve"> figures</w:t>
      </w:r>
      <w:r w:rsidR="005E4E5A">
        <w:rPr>
          <w:rFonts w:cs="Arial"/>
        </w:rPr>
        <w:t xml:space="preserve"> c</w:t>
      </w:r>
      <w:r w:rsidR="00A26C53">
        <w:rPr>
          <w:rFonts w:cs="Arial"/>
        </w:rPr>
        <w:t>overin</w:t>
      </w:r>
      <w:r w:rsidR="005E4E5A">
        <w:rPr>
          <w:rFonts w:cs="Arial"/>
        </w:rPr>
        <w:t>g all the agreements</w:t>
      </w:r>
      <w:r w:rsidR="00497505">
        <w:rPr>
          <w:rFonts w:cs="Arial"/>
        </w:rPr>
        <w:t xml:space="preserve">. The figures </w:t>
      </w:r>
      <w:r w:rsidR="00B6250A">
        <w:rPr>
          <w:rFonts w:cs="Arial"/>
        </w:rPr>
        <w:t xml:space="preserve">can serve as a common ground for </w:t>
      </w:r>
      <w:r w:rsidR="001C5876">
        <w:rPr>
          <w:rFonts w:cs="Arial"/>
        </w:rPr>
        <w:t>the companies</w:t>
      </w:r>
      <w:r w:rsidR="008C14B3">
        <w:rPr>
          <w:rFonts w:cs="Arial"/>
        </w:rPr>
        <w:t xml:space="preserve"> </w:t>
      </w:r>
      <w:r w:rsidR="00887BBC">
        <w:rPr>
          <w:rFonts w:cs="Arial"/>
        </w:rPr>
        <w:t xml:space="preserve">to </w:t>
      </w:r>
      <w:r w:rsidR="006200B1">
        <w:rPr>
          <w:rFonts w:cs="Arial"/>
        </w:rPr>
        <w:t xml:space="preserve">align on </w:t>
      </w:r>
      <w:r w:rsidR="008C14B3">
        <w:rPr>
          <w:rFonts w:cs="Arial"/>
        </w:rPr>
        <w:t>the orientations</w:t>
      </w:r>
      <w:r w:rsidR="006200B1">
        <w:rPr>
          <w:rFonts w:cs="Arial"/>
        </w:rPr>
        <w:t xml:space="preserve"> and </w:t>
      </w:r>
      <w:r w:rsidR="00FE1137">
        <w:rPr>
          <w:rFonts w:cs="Arial"/>
        </w:rPr>
        <w:t xml:space="preserve">boresight angles. </w:t>
      </w:r>
    </w:p>
    <w:p w14:paraId="1877A9EE" w14:textId="77777777" w:rsidR="00A26C53" w:rsidRPr="006F6F55" w:rsidRDefault="00A26C53" w:rsidP="006F6F55">
      <w:pPr>
        <w:pStyle w:val="BodyText"/>
        <w:rPr>
          <w:rFonts w:cs="Arial"/>
        </w:rPr>
      </w:pPr>
    </w:p>
    <w:p w14:paraId="591E4232" w14:textId="737EE4FD" w:rsidR="00917CA4" w:rsidRDefault="00C44143" w:rsidP="0048149C">
      <w:pPr>
        <w:pStyle w:val="Heading1"/>
        <w:jc w:val="both"/>
        <w:rPr>
          <w:rFonts w:cs="Arial"/>
        </w:rPr>
      </w:pPr>
      <w:bookmarkStart w:id="1" w:name="_Ref189046994"/>
      <w:r w:rsidRPr="006F6F55">
        <w:rPr>
          <w:rFonts w:cs="Arial"/>
        </w:rPr>
        <w:t>2</w:t>
      </w:r>
      <w:r w:rsidRPr="006F6F55">
        <w:rPr>
          <w:rFonts w:cs="Arial"/>
        </w:rPr>
        <w:tab/>
      </w:r>
      <w:bookmarkStart w:id="2" w:name="_In-sequence_SDU_delivery"/>
      <w:bookmarkEnd w:id="1"/>
      <w:bookmarkEnd w:id="2"/>
      <w:r w:rsidR="0066520E">
        <w:rPr>
          <w:rFonts w:cs="Arial"/>
        </w:rPr>
        <w:t>Discussion</w:t>
      </w:r>
    </w:p>
    <w:p w14:paraId="4A475A0F" w14:textId="77777777" w:rsidR="00FF1903" w:rsidRDefault="00FF1903" w:rsidP="0066520E">
      <w:pPr>
        <w:rPr>
          <w:lang w:val="en-GB" w:eastAsia="ja-JP"/>
        </w:rPr>
      </w:pPr>
    </w:p>
    <w:p w14:paraId="5BE30DCA" w14:textId="6357445A" w:rsidR="0066520E" w:rsidRDefault="0066520E" w:rsidP="0066520E">
      <w:pPr>
        <w:rPr>
          <w:lang w:val="en-GB" w:eastAsia="ja-JP"/>
        </w:rPr>
      </w:pPr>
      <w:r>
        <w:rPr>
          <w:lang w:val="en-GB" w:eastAsia="ja-JP"/>
        </w:rPr>
        <w:t>In the WF [</w:t>
      </w:r>
      <w:r w:rsidR="00FA6415">
        <w:rPr>
          <w:lang w:val="en-GB" w:eastAsia="ja-JP"/>
        </w:rPr>
        <w:t>1</w:t>
      </w:r>
      <w:r>
        <w:rPr>
          <w:lang w:val="en-GB" w:eastAsia="ja-JP"/>
        </w:rPr>
        <w:t>]</w:t>
      </w:r>
      <w:r w:rsidR="0022297F">
        <w:rPr>
          <w:lang w:val="en-GB" w:eastAsia="ja-JP"/>
        </w:rPr>
        <w:t xml:space="preserve">, </w:t>
      </w:r>
      <w:r w:rsidR="00514C7D">
        <w:rPr>
          <w:lang w:val="en-GB" w:eastAsia="ja-JP"/>
        </w:rPr>
        <w:t>there was an agreement</w:t>
      </w:r>
      <w:r w:rsidR="0022297F">
        <w:rPr>
          <w:lang w:val="en-GB" w:eastAsia="ja-JP"/>
        </w:rPr>
        <w:t xml:space="preserve"> to </w:t>
      </w:r>
      <w:r w:rsidR="00C8678C">
        <w:rPr>
          <w:lang w:val="en-GB" w:eastAsia="ja-JP"/>
        </w:rPr>
        <w:t>consider t</w:t>
      </w:r>
      <w:r w:rsidR="00B25663">
        <w:rPr>
          <w:lang w:val="en-GB" w:eastAsia="ja-JP"/>
        </w:rPr>
        <w:t>hree</w:t>
      </w:r>
      <w:r w:rsidR="00C8678C">
        <w:rPr>
          <w:lang w:val="en-GB" w:eastAsia="ja-JP"/>
        </w:rPr>
        <w:t xml:space="preserve"> cases for non-synchronized scenario layouts</w:t>
      </w:r>
      <w:r w:rsidR="00397BC9">
        <w:rPr>
          <w:lang w:val="en-GB" w:eastAsia="ja-JP"/>
        </w:rPr>
        <w:t xml:space="preserve"> based on the </w:t>
      </w:r>
      <w:r w:rsidR="00B25663">
        <w:rPr>
          <w:lang w:val="en-GB" w:eastAsia="ja-JP"/>
        </w:rPr>
        <w:t xml:space="preserve">TN and ATG network coverage. </w:t>
      </w:r>
      <w:r w:rsidR="000D404F">
        <w:rPr>
          <w:lang w:val="en-GB" w:eastAsia="ja-JP"/>
        </w:rPr>
        <w:br/>
      </w:r>
    </w:p>
    <w:p w14:paraId="1FCF3530" w14:textId="4A6A9939" w:rsidR="0095049B" w:rsidRPr="0095049B" w:rsidRDefault="00D23FDD" w:rsidP="0095049B">
      <w:pPr>
        <w:pStyle w:val="Heading4"/>
        <w:rPr>
          <w:rFonts w:ascii="Arial" w:hAnsi="Arial" w:cs="Arial"/>
          <w:b/>
          <w:bCs/>
          <w:i w:val="0"/>
          <w:iCs w:val="0"/>
          <w:color w:val="auto"/>
          <w:lang w:val="en-GB" w:eastAsia="ja-JP"/>
        </w:rPr>
      </w:pPr>
      <w:r w:rsidRPr="0095049B">
        <w:rPr>
          <w:rFonts w:ascii="Arial" w:hAnsi="Arial" w:cs="Arial"/>
          <w:b/>
          <w:bCs/>
          <w:i w:val="0"/>
          <w:iCs w:val="0"/>
          <w:color w:val="auto"/>
          <w:lang w:val="en-GB" w:eastAsia="ja-JP"/>
        </w:rPr>
        <w:t>Case 1</w:t>
      </w:r>
      <w:r w:rsidR="0095049B" w:rsidRPr="0095049B">
        <w:rPr>
          <w:rFonts w:ascii="Arial" w:hAnsi="Arial" w:cs="Arial"/>
          <w:b/>
          <w:bCs/>
          <w:i w:val="0"/>
          <w:iCs w:val="0"/>
          <w:color w:val="auto"/>
          <w:lang w:val="en-GB" w:eastAsia="ja-JP"/>
        </w:rPr>
        <w:t xml:space="preserve"> - </w:t>
      </w:r>
      <w:r w:rsidR="0095049B" w:rsidRPr="0095049B">
        <w:rPr>
          <w:rFonts w:ascii="Arial" w:hAnsi="Arial" w:cs="Arial"/>
          <w:b/>
          <w:bCs/>
          <w:i w:val="0"/>
          <w:iCs w:val="0"/>
          <w:color w:val="auto"/>
        </w:rPr>
        <w:t>Angle between ATG BS boresight and nearest TN BS boresight in azimuth is 0 degree.</w:t>
      </w:r>
      <w:r w:rsidR="0095049B" w:rsidRPr="0095049B">
        <w:rPr>
          <w:rFonts w:ascii="Arial" w:hAnsi="Arial" w:cs="Arial"/>
          <w:b/>
          <w:bCs/>
          <w:i w:val="0"/>
          <w:iCs w:val="0"/>
          <w:color w:val="auto"/>
          <w:lang w:val="en-GB" w:eastAsia="ja-JP"/>
        </w:rPr>
        <w:t xml:space="preserve"> </w:t>
      </w:r>
    </w:p>
    <w:p w14:paraId="63B477F2" w14:textId="77777777" w:rsidR="0095049B" w:rsidRDefault="0095049B" w:rsidP="006851BC">
      <w:pPr>
        <w:rPr>
          <w:lang w:val="en-GB" w:eastAsia="ja-JP"/>
        </w:rPr>
      </w:pPr>
    </w:p>
    <w:p w14:paraId="0E5A6F84" w14:textId="29D6D02A" w:rsidR="00D23FDD" w:rsidRPr="00346897" w:rsidRDefault="004B530D" w:rsidP="006851BC">
      <w:pPr>
        <w:rPr>
          <w:rFonts w:cs="Arial"/>
          <w:szCs w:val="20"/>
          <w:lang w:val="en-GB" w:eastAsia="ja-JP"/>
        </w:rPr>
      </w:pPr>
      <w:r>
        <w:rPr>
          <w:lang w:val="en-GB" w:eastAsia="ja-JP"/>
        </w:rPr>
        <w:t>Th</w:t>
      </w:r>
      <w:r w:rsidR="005E75B6">
        <w:rPr>
          <w:lang w:val="en-GB" w:eastAsia="ja-JP"/>
        </w:rPr>
        <w:t xml:space="preserve">is is the case where the TN and ATG network coverage is overlapping. </w:t>
      </w:r>
      <w:r w:rsidR="00F32358">
        <w:rPr>
          <w:lang w:val="en-GB" w:eastAsia="ja-JP"/>
        </w:rPr>
        <w:t xml:space="preserve">Figure 1 depicts this case with the </w:t>
      </w:r>
      <w:r w:rsidR="00F32358" w:rsidRPr="00346897">
        <w:rPr>
          <w:szCs w:val="20"/>
          <w:lang w:val="en-GB" w:eastAsia="ja-JP"/>
        </w:rPr>
        <w:t xml:space="preserve">agreed </w:t>
      </w:r>
      <w:r w:rsidR="00F32358" w:rsidRPr="00346897">
        <w:rPr>
          <w:rFonts w:cs="Arial"/>
          <w:szCs w:val="20"/>
          <w:lang w:val="en-GB" w:eastAsia="ja-JP"/>
        </w:rPr>
        <w:t xml:space="preserve">assumptions </w:t>
      </w:r>
      <w:r w:rsidR="006D1576" w:rsidRPr="00346897">
        <w:rPr>
          <w:rFonts w:cs="Arial"/>
          <w:szCs w:val="20"/>
          <w:lang w:val="en-GB" w:eastAsia="ja-JP"/>
        </w:rPr>
        <w:t>in WFs [1] [2]</w:t>
      </w:r>
      <w:r w:rsidR="00B9656D" w:rsidRPr="00346897">
        <w:rPr>
          <w:rFonts w:cs="Arial"/>
          <w:szCs w:val="20"/>
          <w:lang w:val="en-GB" w:eastAsia="ja-JP"/>
        </w:rPr>
        <w:t xml:space="preserve">, also highlighted below – </w:t>
      </w:r>
    </w:p>
    <w:p w14:paraId="53F097E6" w14:textId="0A298F53" w:rsidR="00C26198" w:rsidRDefault="00C26198" w:rsidP="00C26198">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The nearest TN BS sector points at the ATG BS in azimuth, with angle between the ATG BS boresight and nearest TN boresight as 0 degree</w:t>
      </w:r>
      <w:r w:rsidR="00387B77">
        <w:rPr>
          <w:rFonts w:ascii="Arial" w:hAnsi="Arial" w:cs="Arial"/>
          <w:sz w:val="20"/>
          <w:szCs w:val="20"/>
          <w:lang w:val="en-GB" w:eastAsia="ja-JP"/>
        </w:rPr>
        <w:t xml:space="preserve"> ((In Figure 1, highlighted through the orange dotted line)</w:t>
      </w:r>
    </w:p>
    <w:p w14:paraId="76F2FA29" w14:textId="7F20A76F" w:rsidR="00F34785" w:rsidRDefault="00F34785" w:rsidP="00B9656D">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 xml:space="preserve">ATG BS </w:t>
      </w:r>
      <w:r w:rsidR="00083B5C">
        <w:rPr>
          <w:rFonts w:ascii="Arial" w:hAnsi="Arial" w:cs="Arial"/>
          <w:sz w:val="20"/>
          <w:szCs w:val="20"/>
          <w:lang w:val="en-GB" w:eastAsia="ja-JP"/>
        </w:rPr>
        <w:t>points at the ATG UE</w:t>
      </w:r>
      <w:r w:rsidR="002D1846">
        <w:rPr>
          <w:rFonts w:ascii="Arial" w:hAnsi="Arial" w:cs="Arial"/>
          <w:sz w:val="20"/>
          <w:szCs w:val="20"/>
          <w:lang w:val="en-GB" w:eastAsia="ja-JP"/>
        </w:rPr>
        <w:t xml:space="preserve"> (</w:t>
      </w:r>
      <w:r w:rsidR="00387B77">
        <w:rPr>
          <w:rFonts w:ascii="Arial" w:hAnsi="Arial" w:cs="Arial"/>
          <w:sz w:val="20"/>
          <w:szCs w:val="20"/>
          <w:lang w:val="en-GB" w:eastAsia="ja-JP"/>
        </w:rPr>
        <w:t>In Figure 1, highlighted through the orange dotted line</w:t>
      </w:r>
      <w:r w:rsidR="002D1846">
        <w:rPr>
          <w:rFonts w:ascii="Arial" w:hAnsi="Arial" w:cs="Arial"/>
          <w:sz w:val="20"/>
          <w:szCs w:val="20"/>
          <w:lang w:val="en-GB" w:eastAsia="ja-JP"/>
        </w:rPr>
        <w:t>)</w:t>
      </w:r>
      <w:r w:rsidR="00083B5C">
        <w:rPr>
          <w:rFonts w:ascii="Arial" w:hAnsi="Arial" w:cs="Arial"/>
          <w:sz w:val="20"/>
          <w:szCs w:val="20"/>
          <w:lang w:val="en-GB" w:eastAsia="ja-JP"/>
        </w:rPr>
        <w:t>.</w:t>
      </w:r>
    </w:p>
    <w:p w14:paraId="3B3EB0A8" w14:textId="6D3DAE5C" w:rsidR="001C3D5C" w:rsidRDefault="005D27E8" w:rsidP="00B9656D">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ATG BS, ATG UE and TN cluster</w:t>
      </w:r>
      <w:r w:rsidR="004062B5">
        <w:rPr>
          <w:rFonts w:ascii="Arial" w:hAnsi="Arial" w:cs="Arial"/>
          <w:sz w:val="20"/>
          <w:szCs w:val="20"/>
          <w:lang w:val="en-GB" w:eastAsia="ja-JP"/>
        </w:rPr>
        <w:t xml:space="preserve"> center are in </w:t>
      </w:r>
      <w:r w:rsidR="004E5C5E">
        <w:rPr>
          <w:rFonts w:ascii="Arial" w:hAnsi="Arial" w:cs="Arial"/>
          <w:sz w:val="20"/>
          <w:szCs w:val="20"/>
          <w:lang w:val="en-GB" w:eastAsia="ja-JP"/>
        </w:rPr>
        <w:t xml:space="preserve">a </w:t>
      </w:r>
      <w:r w:rsidR="004062B5">
        <w:rPr>
          <w:rFonts w:ascii="Arial" w:hAnsi="Arial" w:cs="Arial"/>
          <w:sz w:val="20"/>
          <w:szCs w:val="20"/>
          <w:lang w:val="en-GB" w:eastAsia="ja-JP"/>
        </w:rPr>
        <w:t>straight line.</w:t>
      </w:r>
    </w:p>
    <w:p w14:paraId="3ACC5BD0" w14:textId="3E0962C7" w:rsidR="004062B5" w:rsidRDefault="004062B5" w:rsidP="00B9656D">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Isolation distance is the between the ATG BS and nearest TN BS.</w:t>
      </w:r>
    </w:p>
    <w:p w14:paraId="28C4C026" w14:textId="529B04F2" w:rsidR="001C5876" w:rsidRDefault="00CE0F30" w:rsidP="003B1A7D">
      <w:pPr>
        <w:pStyle w:val="ListParagraph"/>
        <w:numPr>
          <w:ilvl w:val="0"/>
          <w:numId w:val="18"/>
        </w:numPr>
        <w:rPr>
          <w:lang w:eastAsia="ja-JP"/>
        </w:rPr>
      </w:pPr>
      <w:r>
        <w:rPr>
          <w:rFonts w:ascii="Arial" w:hAnsi="Arial" w:cs="Arial"/>
          <w:sz w:val="20"/>
          <w:szCs w:val="20"/>
          <w:lang w:val="en-GB" w:eastAsia="ja-JP"/>
        </w:rPr>
        <w:t xml:space="preserve">ATG UE is dropped between the maximum and minimum distance assumption </w:t>
      </w:r>
      <w:r w:rsidR="009B5818">
        <w:rPr>
          <w:rFonts w:ascii="Arial" w:hAnsi="Arial" w:cs="Arial"/>
          <w:sz w:val="20"/>
          <w:szCs w:val="20"/>
          <w:lang w:val="en-GB" w:eastAsia="ja-JP"/>
        </w:rPr>
        <w:t>depending on the ATG/ TN BS antenna configuration.</w:t>
      </w:r>
    </w:p>
    <w:p w14:paraId="3CC1274D" w14:textId="7B9ABEDE" w:rsidR="00111A3B" w:rsidRDefault="00264168" w:rsidP="003B1A7D">
      <w:pPr>
        <w:keepNext/>
        <w:jc w:val="center"/>
      </w:pPr>
      <w:r>
        <w:rPr>
          <w:noProof/>
        </w:rPr>
        <w:lastRenderedPageBreak/>
        <w:drawing>
          <wp:inline distT="0" distB="0" distL="0" distR="0" wp14:anchorId="41EF5A1B" wp14:editId="0113D0C0">
            <wp:extent cx="6268963" cy="21943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2802" cy="2202677"/>
                    </a:xfrm>
                    <a:prstGeom prst="rect">
                      <a:avLst/>
                    </a:prstGeom>
                    <a:noFill/>
                    <a:ln>
                      <a:noFill/>
                    </a:ln>
                  </pic:spPr>
                </pic:pic>
              </a:graphicData>
            </a:graphic>
          </wp:inline>
        </w:drawing>
      </w:r>
    </w:p>
    <w:p w14:paraId="500AD043" w14:textId="4EA33C39" w:rsidR="006851BC" w:rsidRPr="00337C3B" w:rsidRDefault="00111A3B" w:rsidP="0095049B">
      <w:pPr>
        <w:pStyle w:val="Caption"/>
        <w:jc w:val="center"/>
        <w:rPr>
          <w:i w:val="0"/>
          <w:iCs w:val="0"/>
          <w:color w:val="auto"/>
          <w:lang w:val="en-GB" w:eastAsia="ja-JP"/>
        </w:rPr>
      </w:pPr>
      <w:r w:rsidRPr="00337C3B">
        <w:rPr>
          <w:i w:val="0"/>
          <w:iCs w:val="0"/>
          <w:color w:val="auto"/>
        </w:rPr>
        <w:t xml:space="preserve">Figure </w:t>
      </w:r>
      <w:r w:rsidRPr="00337C3B">
        <w:rPr>
          <w:i w:val="0"/>
          <w:iCs w:val="0"/>
          <w:color w:val="auto"/>
        </w:rPr>
        <w:fldChar w:fldCharType="begin"/>
      </w:r>
      <w:r w:rsidRPr="00337C3B">
        <w:rPr>
          <w:i w:val="0"/>
          <w:iCs w:val="0"/>
          <w:color w:val="auto"/>
        </w:rPr>
        <w:instrText xml:space="preserve"> SEQ Figure \* ARABIC </w:instrText>
      </w:r>
      <w:r w:rsidRPr="00337C3B">
        <w:rPr>
          <w:i w:val="0"/>
          <w:iCs w:val="0"/>
          <w:color w:val="auto"/>
        </w:rPr>
        <w:fldChar w:fldCharType="separate"/>
      </w:r>
      <w:r w:rsidRPr="00337C3B">
        <w:rPr>
          <w:i w:val="0"/>
          <w:iCs w:val="0"/>
          <w:noProof/>
          <w:color w:val="auto"/>
        </w:rPr>
        <w:t>1</w:t>
      </w:r>
      <w:r w:rsidRPr="00337C3B">
        <w:rPr>
          <w:i w:val="0"/>
          <w:iCs w:val="0"/>
          <w:color w:val="auto"/>
        </w:rPr>
        <w:fldChar w:fldCharType="end"/>
      </w:r>
      <w:r w:rsidR="0095049B" w:rsidRPr="00337C3B">
        <w:rPr>
          <w:i w:val="0"/>
          <w:iCs w:val="0"/>
          <w:color w:val="auto"/>
        </w:rPr>
        <w:t xml:space="preserve">: </w:t>
      </w:r>
      <w:r w:rsidRPr="00337C3B">
        <w:rPr>
          <w:i w:val="0"/>
          <w:iCs w:val="0"/>
          <w:color w:val="auto"/>
        </w:rPr>
        <w:t xml:space="preserve">Angle between ATG BS boresight and nearest TN BS boresight in azimuth </w:t>
      </w:r>
      <w:r w:rsidR="0095049B" w:rsidRPr="00337C3B">
        <w:rPr>
          <w:i w:val="0"/>
          <w:iCs w:val="0"/>
          <w:color w:val="auto"/>
        </w:rPr>
        <w:t>is 0 degree</w:t>
      </w:r>
    </w:p>
    <w:p w14:paraId="2E8BC7EC" w14:textId="77777777" w:rsidR="00337C3B" w:rsidRDefault="00337C3B" w:rsidP="00337C3B">
      <w:pPr>
        <w:rPr>
          <w:lang w:val="en-GB" w:eastAsia="ja-JP"/>
        </w:rPr>
      </w:pPr>
    </w:p>
    <w:p w14:paraId="5AE7EA08" w14:textId="4857F56B" w:rsidR="00337C3B" w:rsidRPr="0095049B" w:rsidRDefault="00337C3B" w:rsidP="00337C3B">
      <w:pPr>
        <w:pStyle w:val="Heading4"/>
        <w:rPr>
          <w:rFonts w:ascii="Arial" w:hAnsi="Arial" w:cs="Arial"/>
          <w:b/>
          <w:bCs/>
          <w:i w:val="0"/>
          <w:iCs w:val="0"/>
          <w:color w:val="auto"/>
          <w:lang w:val="en-GB" w:eastAsia="ja-JP"/>
        </w:rPr>
      </w:pPr>
      <w:r w:rsidRPr="0095049B">
        <w:rPr>
          <w:rFonts w:ascii="Arial" w:hAnsi="Arial" w:cs="Arial"/>
          <w:b/>
          <w:bCs/>
          <w:i w:val="0"/>
          <w:iCs w:val="0"/>
          <w:color w:val="auto"/>
          <w:lang w:val="en-GB" w:eastAsia="ja-JP"/>
        </w:rPr>
        <w:t xml:space="preserve">Case </w:t>
      </w:r>
      <w:r>
        <w:rPr>
          <w:rFonts w:ascii="Arial" w:hAnsi="Arial" w:cs="Arial"/>
          <w:b/>
          <w:bCs/>
          <w:i w:val="0"/>
          <w:iCs w:val="0"/>
          <w:color w:val="auto"/>
          <w:lang w:val="en-GB" w:eastAsia="ja-JP"/>
        </w:rPr>
        <w:t>2</w:t>
      </w:r>
      <w:r w:rsidRPr="0095049B">
        <w:rPr>
          <w:rFonts w:ascii="Arial" w:hAnsi="Arial" w:cs="Arial"/>
          <w:b/>
          <w:bCs/>
          <w:i w:val="0"/>
          <w:iCs w:val="0"/>
          <w:color w:val="auto"/>
          <w:lang w:val="en-GB" w:eastAsia="ja-JP"/>
        </w:rPr>
        <w:t xml:space="preserve"> - </w:t>
      </w:r>
      <w:r w:rsidRPr="0095049B">
        <w:rPr>
          <w:rFonts w:ascii="Arial" w:hAnsi="Arial" w:cs="Arial"/>
          <w:b/>
          <w:bCs/>
          <w:i w:val="0"/>
          <w:iCs w:val="0"/>
          <w:color w:val="auto"/>
        </w:rPr>
        <w:t xml:space="preserve">Angle between ATG BS boresight and nearest TN BS boresight in azimuth is </w:t>
      </w:r>
      <w:r>
        <w:rPr>
          <w:rFonts w:ascii="Arial" w:hAnsi="Arial" w:cs="Arial"/>
          <w:b/>
          <w:bCs/>
          <w:i w:val="0"/>
          <w:iCs w:val="0"/>
          <w:color w:val="auto"/>
        </w:rPr>
        <w:t>30</w:t>
      </w:r>
      <w:r w:rsidRPr="0095049B">
        <w:rPr>
          <w:rFonts w:ascii="Arial" w:hAnsi="Arial" w:cs="Arial"/>
          <w:b/>
          <w:bCs/>
          <w:i w:val="0"/>
          <w:iCs w:val="0"/>
          <w:color w:val="auto"/>
        </w:rPr>
        <w:t xml:space="preserve"> degree</w:t>
      </w:r>
      <w:r>
        <w:rPr>
          <w:rFonts w:ascii="Arial" w:hAnsi="Arial" w:cs="Arial"/>
          <w:b/>
          <w:bCs/>
          <w:i w:val="0"/>
          <w:iCs w:val="0"/>
          <w:color w:val="auto"/>
        </w:rPr>
        <w:t>s</w:t>
      </w:r>
      <w:r w:rsidRPr="0095049B">
        <w:rPr>
          <w:rFonts w:ascii="Arial" w:hAnsi="Arial" w:cs="Arial"/>
          <w:b/>
          <w:bCs/>
          <w:i w:val="0"/>
          <w:iCs w:val="0"/>
          <w:color w:val="auto"/>
        </w:rPr>
        <w:t>.</w:t>
      </w:r>
      <w:r w:rsidRPr="0095049B">
        <w:rPr>
          <w:rFonts w:ascii="Arial" w:hAnsi="Arial" w:cs="Arial"/>
          <w:b/>
          <w:bCs/>
          <w:i w:val="0"/>
          <w:iCs w:val="0"/>
          <w:color w:val="auto"/>
          <w:lang w:val="en-GB" w:eastAsia="ja-JP"/>
        </w:rPr>
        <w:t xml:space="preserve"> </w:t>
      </w:r>
    </w:p>
    <w:p w14:paraId="0E0A0981" w14:textId="77777777" w:rsidR="00337C3B" w:rsidRDefault="00337C3B" w:rsidP="00337C3B">
      <w:pPr>
        <w:rPr>
          <w:lang w:val="en-GB" w:eastAsia="ja-JP"/>
        </w:rPr>
      </w:pPr>
    </w:p>
    <w:p w14:paraId="3C22B1FA" w14:textId="71FAA004" w:rsidR="001C7533" w:rsidRPr="00346897" w:rsidRDefault="001C7533" w:rsidP="001C7533">
      <w:pPr>
        <w:rPr>
          <w:rFonts w:cs="Arial"/>
          <w:szCs w:val="20"/>
          <w:lang w:val="en-GB" w:eastAsia="ja-JP"/>
        </w:rPr>
      </w:pPr>
      <w:r>
        <w:rPr>
          <w:lang w:val="en-GB" w:eastAsia="ja-JP"/>
        </w:rPr>
        <w:t xml:space="preserve">This is the case where the TN and ATG network coverage is non-overlapping. Figure 2 depicts this case with the </w:t>
      </w:r>
      <w:r w:rsidRPr="00346897">
        <w:rPr>
          <w:szCs w:val="20"/>
          <w:lang w:val="en-GB" w:eastAsia="ja-JP"/>
        </w:rPr>
        <w:t xml:space="preserve">agreed </w:t>
      </w:r>
      <w:r w:rsidRPr="00346897">
        <w:rPr>
          <w:rFonts w:cs="Arial"/>
          <w:szCs w:val="20"/>
          <w:lang w:val="en-GB" w:eastAsia="ja-JP"/>
        </w:rPr>
        <w:t xml:space="preserve">assumptions in WFs [1] [2], also highlighted below – </w:t>
      </w:r>
    </w:p>
    <w:p w14:paraId="29814D78" w14:textId="02643230" w:rsidR="00083B5C" w:rsidRDefault="00083B5C" w:rsidP="00083B5C">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The nearest TN BS sector points at the ATG BS in azimuth</w:t>
      </w:r>
      <w:r w:rsidR="00925B40">
        <w:rPr>
          <w:rFonts w:ascii="Arial" w:hAnsi="Arial" w:cs="Arial"/>
          <w:sz w:val="20"/>
          <w:szCs w:val="20"/>
          <w:lang w:val="en-GB" w:eastAsia="ja-JP"/>
        </w:rPr>
        <w:t xml:space="preserve">, with angle between the </w:t>
      </w:r>
      <w:r w:rsidR="009B70DD">
        <w:rPr>
          <w:rFonts w:ascii="Arial" w:hAnsi="Arial" w:cs="Arial"/>
          <w:sz w:val="20"/>
          <w:szCs w:val="20"/>
          <w:lang w:val="en-GB" w:eastAsia="ja-JP"/>
        </w:rPr>
        <w:t xml:space="preserve">ATG BS boresight and </w:t>
      </w:r>
      <w:r w:rsidR="00C26198">
        <w:rPr>
          <w:rFonts w:ascii="Arial" w:hAnsi="Arial" w:cs="Arial"/>
          <w:sz w:val="20"/>
          <w:szCs w:val="20"/>
          <w:lang w:val="en-GB" w:eastAsia="ja-JP"/>
        </w:rPr>
        <w:t>nearest TN boresight as 30 degrees</w:t>
      </w:r>
      <w:r w:rsidR="00387B77">
        <w:rPr>
          <w:rFonts w:ascii="Arial" w:hAnsi="Arial" w:cs="Arial"/>
          <w:sz w:val="20"/>
          <w:szCs w:val="20"/>
          <w:lang w:val="en-GB" w:eastAsia="ja-JP"/>
        </w:rPr>
        <w:t xml:space="preserve"> ((In Figure 2, highlighted through the orange dotted line)</w:t>
      </w:r>
    </w:p>
    <w:p w14:paraId="6085C331" w14:textId="58E5FC2E" w:rsidR="00083B5C" w:rsidRDefault="00083B5C" w:rsidP="00083B5C">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ATG BS points at the ATG UE</w:t>
      </w:r>
      <w:r w:rsidR="00387B77">
        <w:rPr>
          <w:rFonts w:ascii="Arial" w:hAnsi="Arial" w:cs="Arial"/>
          <w:sz w:val="20"/>
          <w:szCs w:val="20"/>
          <w:lang w:val="en-GB" w:eastAsia="ja-JP"/>
        </w:rPr>
        <w:t xml:space="preserve"> ((In Figure 2, highlighted through the orange dotted line)</w:t>
      </w:r>
    </w:p>
    <w:p w14:paraId="7ADA896C" w14:textId="77777777" w:rsidR="00083B5C" w:rsidRDefault="00083B5C" w:rsidP="00083B5C">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Isolation distance is the between the ATG BS and nearest TN BS.</w:t>
      </w:r>
    </w:p>
    <w:p w14:paraId="5CDD2F7E" w14:textId="6A1533B3" w:rsidR="00337C3B" w:rsidRPr="00083B5C" w:rsidRDefault="00083B5C" w:rsidP="00337C3B">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ATG UE is dropped between the maximum and minimum distance assumption depending on the ATG/ TN BS antenna configuration.</w:t>
      </w:r>
    </w:p>
    <w:p w14:paraId="2C73CF23" w14:textId="14EF6CE5" w:rsidR="00337C3B" w:rsidRDefault="00337C3B" w:rsidP="001C5876">
      <w:pPr>
        <w:keepNext/>
        <w:jc w:val="center"/>
      </w:pPr>
    </w:p>
    <w:p w14:paraId="553CE3F8" w14:textId="0A085904" w:rsidR="002A46CB" w:rsidRDefault="00D46655" w:rsidP="001C5876">
      <w:pPr>
        <w:keepNext/>
        <w:jc w:val="center"/>
      </w:pPr>
      <w:r>
        <w:rPr>
          <w:noProof/>
        </w:rPr>
        <w:drawing>
          <wp:inline distT="0" distB="0" distL="0" distR="0" wp14:anchorId="76A885AA" wp14:editId="64A15219">
            <wp:extent cx="6115685" cy="27063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706370"/>
                    </a:xfrm>
                    <a:prstGeom prst="rect">
                      <a:avLst/>
                    </a:prstGeom>
                    <a:noFill/>
                    <a:ln>
                      <a:noFill/>
                    </a:ln>
                  </pic:spPr>
                </pic:pic>
              </a:graphicData>
            </a:graphic>
          </wp:inline>
        </w:drawing>
      </w:r>
    </w:p>
    <w:p w14:paraId="3AE020F1" w14:textId="50AA4448" w:rsidR="00337C3B" w:rsidRPr="00F821B8" w:rsidRDefault="00337C3B" w:rsidP="00F821B8">
      <w:pPr>
        <w:pStyle w:val="Caption"/>
        <w:jc w:val="center"/>
        <w:rPr>
          <w:i w:val="0"/>
          <w:iCs w:val="0"/>
          <w:color w:val="auto"/>
        </w:rPr>
      </w:pPr>
      <w:r w:rsidRPr="00337C3B">
        <w:rPr>
          <w:i w:val="0"/>
          <w:iCs w:val="0"/>
          <w:color w:val="auto"/>
        </w:rPr>
        <w:t xml:space="preserve">Figure </w:t>
      </w:r>
      <w:r w:rsidR="002E42F4">
        <w:rPr>
          <w:i w:val="0"/>
          <w:iCs w:val="0"/>
          <w:color w:val="auto"/>
        </w:rPr>
        <w:t>2</w:t>
      </w:r>
      <w:r w:rsidRPr="00337C3B">
        <w:rPr>
          <w:i w:val="0"/>
          <w:iCs w:val="0"/>
          <w:color w:val="auto"/>
        </w:rPr>
        <w:t xml:space="preserve">: Angle between ATG BS boresight and nearest TN BS boresight in azimuth is </w:t>
      </w:r>
      <w:r w:rsidR="00083B5C">
        <w:rPr>
          <w:i w:val="0"/>
          <w:iCs w:val="0"/>
          <w:color w:val="auto"/>
        </w:rPr>
        <w:t>3</w:t>
      </w:r>
      <w:r w:rsidRPr="00337C3B">
        <w:rPr>
          <w:i w:val="0"/>
          <w:iCs w:val="0"/>
          <w:color w:val="auto"/>
        </w:rPr>
        <w:t>0 degree</w:t>
      </w:r>
      <w:r w:rsidR="00083B5C">
        <w:rPr>
          <w:i w:val="0"/>
          <w:iCs w:val="0"/>
          <w:color w:val="auto"/>
        </w:rPr>
        <w:t>s</w:t>
      </w:r>
    </w:p>
    <w:p w14:paraId="4F00ED57" w14:textId="77777777" w:rsidR="00337C3B" w:rsidRPr="00337C3B" w:rsidRDefault="00337C3B" w:rsidP="00337C3B">
      <w:pPr>
        <w:rPr>
          <w:lang w:val="en-GB" w:eastAsia="ja-JP"/>
        </w:rPr>
      </w:pPr>
    </w:p>
    <w:p w14:paraId="785B9460" w14:textId="5933786F" w:rsidR="00337C3B" w:rsidRPr="0095049B" w:rsidRDefault="00337C3B" w:rsidP="00337C3B">
      <w:pPr>
        <w:pStyle w:val="Heading4"/>
        <w:rPr>
          <w:rFonts w:ascii="Arial" w:hAnsi="Arial" w:cs="Arial"/>
          <w:b/>
          <w:bCs/>
          <w:i w:val="0"/>
          <w:iCs w:val="0"/>
          <w:color w:val="auto"/>
          <w:lang w:val="en-GB" w:eastAsia="ja-JP"/>
        </w:rPr>
      </w:pPr>
      <w:r w:rsidRPr="0095049B">
        <w:rPr>
          <w:rFonts w:ascii="Arial" w:hAnsi="Arial" w:cs="Arial"/>
          <w:b/>
          <w:bCs/>
          <w:i w:val="0"/>
          <w:iCs w:val="0"/>
          <w:color w:val="auto"/>
          <w:lang w:val="en-GB" w:eastAsia="ja-JP"/>
        </w:rPr>
        <w:t xml:space="preserve">Case </w:t>
      </w:r>
      <w:r>
        <w:rPr>
          <w:rFonts w:ascii="Arial" w:hAnsi="Arial" w:cs="Arial"/>
          <w:b/>
          <w:bCs/>
          <w:i w:val="0"/>
          <w:iCs w:val="0"/>
          <w:color w:val="auto"/>
          <w:lang w:val="en-GB" w:eastAsia="ja-JP"/>
        </w:rPr>
        <w:t>3</w:t>
      </w:r>
      <w:r w:rsidRPr="0095049B">
        <w:rPr>
          <w:rFonts w:ascii="Arial" w:hAnsi="Arial" w:cs="Arial"/>
          <w:b/>
          <w:bCs/>
          <w:i w:val="0"/>
          <w:iCs w:val="0"/>
          <w:color w:val="auto"/>
          <w:lang w:val="en-GB" w:eastAsia="ja-JP"/>
        </w:rPr>
        <w:t xml:space="preserve"> - </w:t>
      </w:r>
      <w:r w:rsidRPr="0095049B">
        <w:rPr>
          <w:rFonts w:ascii="Arial" w:hAnsi="Arial" w:cs="Arial"/>
          <w:b/>
          <w:bCs/>
          <w:i w:val="0"/>
          <w:iCs w:val="0"/>
          <w:color w:val="auto"/>
        </w:rPr>
        <w:t xml:space="preserve">Angle between ATG BS boresight and nearest TN BS boresight in azimuth is </w:t>
      </w:r>
      <w:r>
        <w:rPr>
          <w:rFonts w:ascii="Arial" w:hAnsi="Arial" w:cs="Arial"/>
          <w:b/>
          <w:bCs/>
          <w:i w:val="0"/>
          <w:iCs w:val="0"/>
          <w:color w:val="auto"/>
        </w:rPr>
        <w:t>60</w:t>
      </w:r>
      <w:r w:rsidRPr="0095049B">
        <w:rPr>
          <w:rFonts w:ascii="Arial" w:hAnsi="Arial" w:cs="Arial"/>
          <w:b/>
          <w:bCs/>
          <w:i w:val="0"/>
          <w:iCs w:val="0"/>
          <w:color w:val="auto"/>
        </w:rPr>
        <w:t xml:space="preserve"> degree</w:t>
      </w:r>
      <w:r w:rsidR="001C5876">
        <w:rPr>
          <w:rFonts w:ascii="Arial" w:hAnsi="Arial" w:cs="Arial"/>
          <w:b/>
          <w:bCs/>
          <w:i w:val="0"/>
          <w:iCs w:val="0"/>
          <w:color w:val="auto"/>
        </w:rPr>
        <w:t>s</w:t>
      </w:r>
      <w:r w:rsidRPr="0095049B">
        <w:rPr>
          <w:rFonts w:ascii="Arial" w:hAnsi="Arial" w:cs="Arial"/>
          <w:b/>
          <w:bCs/>
          <w:i w:val="0"/>
          <w:iCs w:val="0"/>
          <w:color w:val="auto"/>
        </w:rPr>
        <w:t>.</w:t>
      </w:r>
      <w:r w:rsidRPr="0095049B">
        <w:rPr>
          <w:rFonts w:ascii="Arial" w:hAnsi="Arial" w:cs="Arial"/>
          <w:b/>
          <w:bCs/>
          <w:i w:val="0"/>
          <w:iCs w:val="0"/>
          <w:color w:val="auto"/>
          <w:lang w:val="en-GB" w:eastAsia="ja-JP"/>
        </w:rPr>
        <w:t xml:space="preserve"> </w:t>
      </w:r>
    </w:p>
    <w:p w14:paraId="0A795042" w14:textId="77777777" w:rsidR="00C03F4E" w:rsidRDefault="00C03F4E" w:rsidP="00C03F4E">
      <w:pPr>
        <w:rPr>
          <w:lang w:val="en-GB" w:eastAsia="ja-JP"/>
        </w:rPr>
      </w:pPr>
    </w:p>
    <w:p w14:paraId="4A8CB915" w14:textId="450FEA31" w:rsidR="00C03F4E" w:rsidRPr="00346897" w:rsidRDefault="00C03F4E" w:rsidP="00C03F4E">
      <w:pPr>
        <w:rPr>
          <w:rFonts w:cs="Arial"/>
          <w:szCs w:val="20"/>
          <w:lang w:val="en-GB" w:eastAsia="ja-JP"/>
        </w:rPr>
      </w:pPr>
      <w:r>
        <w:rPr>
          <w:lang w:val="en-GB" w:eastAsia="ja-JP"/>
        </w:rPr>
        <w:lastRenderedPageBreak/>
        <w:t xml:space="preserve">This is the case where the TN and ATG network coverage is non-overlapping. Figure 3 depicts this case with the </w:t>
      </w:r>
      <w:r w:rsidRPr="00346897">
        <w:rPr>
          <w:szCs w:val="20"/>
          <w:lang w:val="en-GB" w:eastAsia="ja-JP"/>
        </w:rPr>
        <w:t xml:space="preserve">agreed </w:t>
      </w:r>
      <w:r w:rsidRPr="00346897">
        <w:rPr>
          <w:rFonts w:cs="Arial"/>
          <w:szCs w:val="20"/>
          <w:lang w:val="en-GB" w:eastAsia="ja-JP"/>
        </w:rPr>
        <w:t xml:space="preserve">assumptions in WFs [1] [2], also highlighted below – </w:t>
      </w:r>
    </w:p>
    <w:p w14:paraId="4E7EA0FB" w14:textId="61336C66" w:rsidR="00C26198" w:rsidRDefault="00C26198" w:rsidP="00C26198">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The nearest TN BS sector points at the ATG BS in azimuth, with angle between the ATG BS boresight and nearest TN boresight as 60 degrees</w:t>
      </w:r>
      <w:r w:rsidR="00387B77">
        <w:rPr>
          <w:rFonts w:ascii="Arial" w:hAnsi="Arial" w:cs="Arial"/>
          <w:sz w:val="20"/>
          <w:szCs w:val="20"/>
          <w:lang w:val="en-GB" w:eastAsia="ja-JP"/>
        </w:rPr>
        <w:t xml:space="preserve"> ((In Figure 3, highlighted through the orange dotted line)</w:t>
      </w:r>
    </w:p>
    <w:p w14:paraId="43D211A7" w14:textId="0CD2638B" w:rsidR="00C03F4E" w:rsidRDefault="00C03F4E" w:rsidP="00C03F4E">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ATG BS points at the ATG UE</w:t>
      </w:r>
      <w:r w:rsidR="00387B77">
        <w:rPr>
          <w:rFonts w:ascii="Arial" w:hAnsi="Arial" w:cs="Arial"/>
          <w:sz w:val="20"/>
          <w:szCs w:val="20"/>
          <w:lang w:val="en-GB" w:eastAsia="ja-JP"/>
        </w:rPr>
        <w:t xml:space="preserve"> ((In Figure 3, highlighted through the orange dotted line)</w:t>
      </w:r>
    </w:p>
    <w:p w14:paraId="1E681157" w14:textId="77777777" w:rsidR="00C03F4E" w:rsidRDefault="00C03F4E" w:rsidP="00C03F4E">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Isolation distance is the between the ATG BS and nearest TN BS.</w:t>
      </w:r>
    </w:p>
    <w:p w14:paraId="196DE6A3" w14:textId="77777777" w:rsidR="00C03F4E" w:rsidRPr="00083B5C" w:rsidRDefault="00C03F4E" w:rsidP="00C03F4E">
      <w:pPr>
        <w:pStyle w:val="ListParagraph"/>
        <w:numPr>
          <w:ilvl w:val="0"/>
          <w:numId w:val="18"/>
        </w:numPr>
        <w:rPr>
          <w:rFonts w:ascii="Arial" w:hAnsi="Arial" w:cs="Arial"/>
          <w:sz w:val="20"/>
          <w:szCs w:val="20"/>
          <w:lang w:val="en-GB" w:eastAsia="ja-JP"/>
        </w:rPr>
      </w:pPr>
      <w:r>
        <w:rPr>
          <w:rFonts w:ascii="Arial" w:hAnsi="Arial" w:cs="Arial"/>
          <w:sz w:val="20"/>
          <w:szCs w:val="20"/>
          <w:lang w:val="en-GB" w:eastAsia="ja-JP"/>
        </w:rPr>
        <w:t>ATG UE is dropped between the maximum and minimum distance assumption depending on the ATG/ TN BS antenna configuration.</w:t>
      </w:r>
    </w:p>
    <w:p w14:paraId="56D23CA4" w14:textId="77777777" w:rsidR="00337C3B" w:rsidRDefault="00337C3B" w:rsidP="00337C3B">
      <w:pPr>
        <w:rPr>
          <w:lang w:val="en-GB" w:eastAsia="ja-JP"/>
        </w:rPr>
      </w:pPr>
    </w:p>
    <w:p w14:paraId="5A6D506B" w14:textId="7E4180D7" w:rsidR="00337C3B" w:rsidRPr="00FC47F6" w:rsidRDefault="00D46655" w:rsidP="001C5876">
      <w:pPr>
        <w:keepNext/>
        <w:jc w:val="center"/>
        <w:rPr>
          <w:lang w:val="en-GB"/>
        </w:rPr>
      </w:pPr>
      <w:r>
        <w:rPr>
          <w:noProof/>
          <w:lang w:val="en-GB"/>
        </w:rPr>
        <w:drawing>
          <wp:inline distT="0" distB="0" distL="0" distR="0" wp14:anchorId="612603EC" wp14:editId="7A576C43">
            <wp:extent cx="6115685" cy="34893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3489325"/>
                    </a:xfrm>
                    <a:prstGeom prst="rect">
                      <a:avLst/>
                    </a:prstGeom>
                    <a:noFill/>
                    <a:ln>
                      <a:noFill/>
                    </a:ln>
                  </pic:spPr>
                </pic:pic>
              </a:graphicData>
            </a:graphic>
          </wp:inline>
        </w:drawing>
      </w:r>
    </w:p>
    <w:p w14:paraId="473321B0" w14:textId="5E14DCC5" w:rsidR="00637DA0" w:rsidRPr="00337C3B" w:rsidRDefault="00337C3B" w:rsidP="00337C3B">
      <w:pPr>
        <w:pStyle w:val="Caption"/>
        <w:jc w:val="center"/>
        <w:rPr>
          <w:i w:val="0"/>
          <w:iCs w:val="0"/>
          <w:color w:val="auto"/>
          <w:lang w:val="en-GB" w:eastAsia="ja-JP"/>
        </w:rPr>
      </w:pPr>
      <w:r w:rsidRPr="00337C3B">
        <w:rPr>
          <w:i w:val="0"/>
          <w:iCs w:val="0"/>
          <w:color w:val="auto"/>
        </w:rPr>
        <w:t xml:space="preserve">Figure </w:t>
      </w:r>
      <w:r w:rsidR="002E42F4">
        <w:rPr>
          <w:i w:val="0"/>
          <w:iCs w:val="0"/>
          <w:color w:val="auto"/>
        </w:rPr>
        <w:t>3</w:t>
      </w:r>
      <w:r w:rsidRPr="00337C3B">
        <w:rPr>
          <w:i w:val="0"/>
          <w:iCs w:val="0"/>
          <w:color w:val="auto"/>
        </w:rPr>
        <w:t xml:space="preserve">: Angle between ATG BS boresight and nearest TN BS boresight in azimuth is </w:t>
      </w:r>
      <w:r w:rsidR="00083B5C">
        <w:rPr>
          <w:i w:val="0"/>
          <w:iCs w:val="0"/>
          <w:color w:val="auto"/>
        </w:rPr>
        <w:t>6</w:t>
      </w:r>
      <w:r w:rsidRPr="00337C3B">
        <w:rPr>
          <w:i w:val="0"/>
          <w:iCs w:val="0"/>
          <w:color w:val="auto"/>
        </w:rPr>
        <w:t>0 degree</w:t>
      </w:r>
      <w:r w:rsidR="00083B5C">
        <w:rPr>
          <w:i w:val="0"/>
          <w:iCs w:val="0"/>
          <w:color w:val="auto"/>
        </w:rPr>
        <w:t>s</w:t>
      </w:r>
    </w:p>
    <w:p w14:paraId="75FE4D4E" w14:textId="77777777" w:rsidR="000B0BCB" w:rsidRDefault="000B0BCB" w:rsidP="0066520E">
      <w:pPr>
        <w:rPr>
          <w:lang w:val="en-GB" w:eastAsia="ja-JP"/>
        </w:rPr>
      </w:pPr>
    </w:p>
    <w:p w14:paraId="6364D4E3" w14:textId="24855CFC" w:rsidR="00533FDA" w:rsidRDefault="00F7040F" w:rsidP="00124525">
      <w:pPr>
        <w:pStyle w:val="Proposal"/>
        <w:rPr>
          <w:lang w:val="en-GB"/>
        </w:rPr>
      </w:pPr>
      <w:bookmarkStart w:id="3" w:name="_Toc146739628"/>
      <w:r>
        <w:rPr>
          <w:lang w:val="en-GB"/>
        </w:rPr>
        <w:t xml:space="preserve">RAN4 </w:t>
      </w:r>
      <w:r w:rsidR="00816BB1">
        <w:rPr>
          <w:lang w:val="en-GB"/>
        </w:rPr>
        <w:t xml:space="preserve">to </w:t>
      </w:r>
      <w:r w:rsidR="00F72088">
        <w:rPr>
          <w:lang w:val="en-GB"/>
        </w:rPr>
        <w:t xml:space="preserve">adopt </w:t>
      </w:r>
      <w:r w:rsidR="00712705">
        <w:rPr>
          <w:lang w:val="en-GB"/>
        </w:rPr>
        <w:t>the proposed network layout models and align on the orientation</w:t>
      </w:r>
      <w:r w:rsidR="00BC68B0">
        <w:rPr>
          <w:lang w:val="en-GB"/>
        </w:rPr>
        <w:t xml:space="preserve">, </w:t>
      </w:r>
      <w:r w:rsidR="00525928">
        <w:rPr>
          <w:lang w:val="en-GB"/>
        </w:rPr>
        <w:t>to</w:t>
      </w:r>
      <w:r w:rsidR="00A357A5">
        <w:rPr>
          <w:lang w:val="en-GB"/>
        </w:rPr>
        <w:t xml:space="preserve"> make sure the ATG BS, ATG UE and nearest TN BS sector point </w:t>
      </w:r>
      <w:r w:rsidR="009809D2">
        <w:rPr>
          <w:lang w:val="en-GB"/>
        </w:rPr>
        <w:t>in the right directions.</w:t>
      </w:r>
      <w:bookmarkEnd w:id="3"/>
    </w:p>
    <w:p w14:paraId="540F46C6" w14:textId="77777777" w:rsidR="001702E0" w:rsidRDefault="001702E0" w:rsidP="00930A9E">
      <w:pPr>
        <w:pStyle w:val="Observation"/>
        <w:numPr>
          <w:ilvl w:val="0"/>
          <w:numId w:val="0"/>
        </w:numPr>
        <w:rPr>
          <w:lang w:val="en-GB"/>
        </w:rPr>
      </w:pPr>
    </w:p>
    <w:p w14:paraId="2E2B0B8C" w14:textId="77777777" w:rsidR="00637DA0" w:rsidRPr="00065EE2" w:rsidRDefault="00637DA0" w:rsidP="00637DA0">
      <w:pPr>
        <w:pStyle w:val="Heading1"/>
        <w:rPr>
          <w:lang w:val="en-US"/>
        </w:rPr>
      </w:pPr>
      <w:r w:rsidRPr="00065EE2">
        <w:rPr>
          <w:lang w:val="en-US"/>
        </w:rPr>
        <w:t>Conclusion</w:t>
      </w:r>
    </w:p>
    <w:p w14:paraId="04361302" w14:textId="342E97EE" w:rsidR="00AA7058" w:rsidRPr="00300A24" w:rsidRDefault="00AA7058" w:rsidP="00AA7058">
      <w:pPr>
        <w:pStyle w:val="BodyText"/>
        <w:rPr>
          <w:b/>
          <w:bCs/>
        </w:rPr>
      </w:pPr>
    </w:p>
    <w:p w14:paraId="2983DF7D" w14:textId="77777777" w:rsidR="00AA7058" w:rsidRPr="00300A24" w:rsidRDefault="00AA7058" w:rsidP="00AA7058">
      <w:pPr>
        <w:pStyle w:val="BodyText"/>
      </w:pPr>
      <w:r w:rsidRPr="00300A24">
        <w:t>Based on the discussion in the previous sections we propose the following:</w:t>
      </w:r>
    </w:p>
    <w:p w14:paraId="202E8F34" w14:textId="111FFCC5" w:rsidR="00F72088" w:rsidRDefault="00AA7058">
      <w:pPr>
        <w:pStyle w:val="TableofFigures"/>
        <w:tabs>
          <w:tab w:val="right" w:leader="dot" w:pos="9629"/>
        </w:tabs>
        <w:rPr>
          <w:rFonts w:asciiTheme="minorHAnsi" w:eastAsiaTheme="minorEastAsia" w:hAnsiTheme="minorHAnsi"/>
          <w:b w:val="0"/>
          <w:noProof/>
          <w:sz w:val="22"/>
        </w:rPr>
      </w:pPr>
      <w:r w:rsidRPr="00300A24">
        <w:rPr>
          <w:b w:val="0"/>
          <w:bCs/>
        </w:rPr>
        <w:fldChar w:fldCharType="begin"/>
      </w:r>
      <w:r w:rsidRPr="00300A24">
        <w:rPr>
          <w:b w:val="0"/>
          <w:bCs/>
        </w:rPr>
        <w:instrText xml:space="preserve"> TOC \n \h \z \t "Proposal" \c </w:instrText>
      </w:r>
      <w:r w:rsidRPr="00300A24">
        <w:rPr>
          <w:b w:val="0"/>
          <w:bCs/>
        </w:rPr>
        <w:fldChar w:fldCharType="separate"/>
      </w:r>
      <w:hyperlink w:anchor="_Toc146739628" w:history="1">
        <w:r w:rsidR="00F72088" w:rsidRPr="001F04EC">
          <w:rPr>
            <w:rStyle w:val="Hyperlink"/>
            <w:noProof/>
            <w:lang w:val="en-GB"/>
          </w:rPr>
          <w:t>Proposal 1</w:t>
        </w:r>
        <w:r w:rsidR="00F72088">
          <w:rPr>
            <w:rFonts w:asciiTheme="minorHAnsi" w:eastAsiaTheme="minorEastAsia" w:hAnsiTheme="minorHAnsi"/>
            <w:b w:val="0"/>
            <w:noProof/>
            <w:sz w:val="22"/>
          </w:rPr>
          <w:tab/>
        </w:r>
        <w:r w:rsidR="00F72088" w:rsidRPr="001F04EC">
          <w:rPr>
            <w:rStyle w:val="Hyperlink"/>
            <w:noProof/>
            <w:lang w:val="en-GB"/>
          </w:rPr>
          <w:t>RAN4 to adopt the proposed network layout models and align on the orientation, to make sure the ATG BS, ATG UE and nearest TN BS sector point in the right directions.</w:t>
        </w:r>
      </w:hyperlink>
    </w:p>
    <w:p w14:paraId="32AF6371" w14:textId="213D124E" w:rsidR="00637DA0" w:rsidRPr="00256920" w:rsidRDefault="00AA7058" w:rsidP="00256920">
      <w:pPr>
        <w:pStyle w:val="TableofFigures"/>
        <w:tabs>
          <w:tab w:val="right" w:leader="dot" w:pos="9629"/>
        </w:tabs>
        <w:ind w:left="0" w:firstLine="0"/>
        <w:rPr>
          <w:rFonts w:asciiTheme="minorHAnsi" w:eastAsiaTheme="minorEastAsia" w:hAnsiTheme="minorHAnsi"/>
          <w:b w:val="0"/>
          <w:kern w:val="2"/>
          <w:sz w:val="24"/>
          <w:szCs w:val="24"/>
          <w:lang w:eastAsia="en-GB"/>
          <w14:ligatures w14:val="standardContextual"/>
        </w:rPr>
      </w:pPr>
      <w:r w:rsidRPr="00300A24">
        <w:rPr>
          <w:b w:val="0"/>
          <w:bCs/>
        </w:rPr>
        <w:fldChar w:fldCharType="end"/>
      </w:r>
    </w:p>
    <w:p w14:paraId="0D86C2E4" w14:textId="77777777" w:rsidR="00637DA0" w:rsidRPr="00300A24" w:rsidRDefault="00637DA0" w:rsidP="00637DA0">
      <w:pPr>
        <w:pStyle w:val="Heading1"/>
        <w:rPr>
          <w:lang w:val="en-US"/>
        </w:rPr>
      </w:pPr>
      <w:r w:rsidRPr="00300A24">
        <w:rPr>
          <w:lang w:val="en-US"/>
        </w:rPr>
        <w:lastRenderedPageBreak/>
        <w:t>References</w:t>
      </w:r>
    </w:p>
    <w:p w14:paraId="6D4E73C8" w14:textId="77777777" w:rsidR="00D57558" w:rsidRDefault="00D57558" w:rsidP="00D57558">
      <w:pPr>
        <w:pStyle w:val="Reference"/>
        <w:rPr>
          <w:szCs w:val="20"/>
        </w:rPr>
      </w:pPr>
      <w:bookmarkStart w:id="4" w:name="_Ref118613372"/>
      <w:bookmarkStart w:id="5" w:name="_Ref125980231"/>
      <w:bookmarkStart w:id="6" w:name="_Ref174151459"/>
      <w:bookmarkStart w:id="7" w:name="_Ref189809556"/>
      <w:r w:rsidRPr="00D9001D">
        <w:t>R4-2</w:t>
      </w:r>
      <w:r>
        <w:t>310401</w:t>
      </w:r>
      <w:r w:rsidRPr="00D9001D">
        <w:rPr>
          <w:szCs w:val="20"/>
        </w:rPr>
        <w:t xml:space="preserve">, </w:t>
      </w:r>
      <w:r>
        <w:rPr>
          <w:szCs w:val="20"/>
        </w:rPr>
        <w:t>WF on ATG Co-existence evaluation</w:t>
      </w:r>
      <w:r w:rsidRPr="00D9001D">
        <w:rPr>
          <w:szCs w:val="20"/>
        </w:rPr>
        <w:t xml:space="preserve">, </w:t>
      </w:r>
      <w:r>
        <w:rPr>
          <w:szCs w:val="20"/>
        </w:rPr>
        <w:t>CMCC</w:t>
      </w:r>
      <w:r w:rsidRPr="00D9001D">
        <w:rPr>
          <w:szCs w:val="20"/>
        </w:rPr>
        <w:t>, RAN4#10</w:t>
      </w:r>
      <w:r>
        <w:rPr>
          <w:szCs w:val="20"/>
        </w:rPr>
        <w:t>7</w:t>
      </w:r>
    </w:p>
    <w:bookmarkEnd w:id="4"/>
    <w:bookmarkEnd w:id="5"/>
    <w:bookmarkEnd w:id="6"/>
    <w:bookmarkEnd w:id="7"/>
    <w:p w14:paraId="6EB2C6CD" w14:textId="6AD4FA5C" w:rsidR="006D1576" w:rsidRDefault="006D1576" w:rsidP="006D1576">
      <w:pPr>
        <w:pStyle w:val="Reference"/>
        <w:rPr>
          <w:szCs w:val="20"/>
        </w:rPr>
      </w:pPr>
      <w:r w:rsidRPr="00D9001D">
        <w:t>R4-</w:t>
      </w:r>
      <w:r w:rsidR="005E7C94">
        <w:t>2314755,</w:t>
      </w:r>
      <w:r w:rsidRPr="00D9001D">
        <w:rPr>
          <w:szCs w:val="20"/>
        </w:rPr>
        <w:t xml:space="preserve"> </w:t>
      </w:r>
      <w:r>
        <w:rPr>
          <w:szCs w:val="20"/>
        </w:rPr>
        <w:t>WF on ATG Co-existence evaluation</w:t>
      </w:r>
      <w:r w:rsidRPr="00D9001D">
        <w:rPr>
          <w:szCs w:val="20"/>
        </w:rPr>
        <w:t xml:space="preserve">, </w:t>
      </w:r>
      <w:r>
        <w:rPr>
          <w:szCs w:val="20"/>
        </w:rPr>
        <w:t>CMCC</w:t>
      </w:r>
      <w:r w:rsidRPr="00D9001D">
        <w:rPr>
          <w:szCs w:val="20"/>
        </w:rPr>
        <w:t>, RAN4#10</w:t>
      </w:r>
      <w:r>
        <w:rPr>
          <w:szCs w:val="20"/>
        </w:rPr>
        <w:t>8</w:t>
      </w:r>
    </w:p>
    <w:p w14:paraId="11ACD318" w14:textId="45FF5027" w:rsidR="00637DA0" w:rsidRPr="00637DA0" w:rsidRDefault="00637DA0" w:rsidP="006D1576">
      <w:pPr>
        <w:pStyle w:val="Reference"/>
        <w:numPr>
          <w:ilvl w:val="0"/>
          <w:numId w:val="0"/>
        </w:numPr>
        <w:ind w:left="567"/>
        <w:jc w:val="left"/>
        <w:rPr>
          <w:lang w:eastAsia="ja-JP"/>
        </w:rPr>
      </w:pPr>
    </w:p>
    <w:sectPr w:rsidR="00637DA0" w:rsidRPr="00637DA0"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257D7" w14:textId="77777777" w:rsidR="00BE0E74" w:rsidRDefault="00BE0E74">
      <w:pPr>
        <w:spacing w:after="0" w:line="240" w:lineRule="auto"/>
      </w:pPr>
      <w:r>
        <w:separator/>
      </w:r>
    </w:p>
  </w:endnote>
  <w:endnote w:type="continuationSeparator" w:id="0">
    <w:p w14:paraId="09215138" w14:textId="77777777" w:rsidR="00BE0E74" w:rsidRDefault="00BE0E74">
      <w:pPr>
        <w:spacing w:after="0" w:line="240" w:lineRule="auto"/>
      </w:pPr>
      <w:r>
        <w:continuationSeparator/>
      </w:r>
    </w:p>
  </w:endnote>
  <w:endnote w:type="continuationNotice" w:id="1">
    <w:p w14:paraId="45498891" w14:textId="77777777" w:rsidR="00BE0E74" w:rsidRDefault="00BE0E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3972B" w14:textId="77777777" w:rsidR="00BE0E74" w:rsidRDefault="00BE0E74">
      <w:pPr>
        <w:spacing w:after="0" w:line="240" w:lineRule="auto"/>
      </w:pPr>
      <w:r>
        <w:separator/>
      </w:r>
    </w:p>
  </w:footnote>
  <w:footnote w:type="continuationSeparator" w:id="0">
    <w:p w14:paraId="0504A6B6" w14:textId="77777777" w:rsidR="00BE0E74" w:rsidRDefault="00BE0E74">
      <w:pPr>
        <w:spacing w:after="0" w:line="240" w:lineRule="auto"/>
      </w:pPr>
      <w:r>
        <w:continuationSeparator/>
      </w:r>
    </w:p>
  </w:footnote>
  <w:footnote w:type="continuationNotice" w:id="1">
    <w:p w14:paraId="20496A1A" w14:textId="77777777" w:rsidR="00BE0E74" w:rsidRDefault="00BE0E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1"/>
  </w:num>
  <w:num w:numId="2" w16cid:durableId="1830167566">
    <w:abstractNumId w:val="8"/>
  </w:num>
  <w:num w:numId="3" w16cid:durableId="1597325116">
    <w:abstractNumId w:val="12"/>
  </w:num>
  <w:num w:numId="4" w16cid:durableId="720635610">
    <w:abstractNumId w:val="7"/>
  </w:num>
  <w:num w:numId="5" w16cid:durableId="416291258">
    <w:abstractNumId w:val="9"/>
  </w:num>
  <w:num w:numId="6" w16cid:durableId="487863924">
    <w:abstractNumId w:val="6"/>
  </w:num>
  <w:num w:numId="7" w16cid:durableId="1741247155">
    <w:abstractNumId w:val="16"/>
  </w:num>
  <w:num w:numId="8" w16cid:durableId="1498157732">
    <w:abstractNumId w:val="15"/>
  </w:num>
  <w:num w:numId="9" w16cid:durableId="1538932918">
    <w:abstractNumId w:val="13"/>
  </w:num>
  <w:num w:numId="10" w16cid:durableId="713310379">
    <w:abstractNumId w:val="17"/>
  </w:num>
  <w:num w:numId="11" w16cid:durableId="559486497">
    <w:abstractNumId w:val="3"/>
  </w:num>
  <w:num w:numId="12" w16cid:durableId="409694195">
    <w:abstractNumId w:val="0"/>
  </w:num>
  <w:num w:numId="13" w16cid:durableId="836772180">
    <w:abstractNumId w:val="14"/>
  </w:num>
  <w:num w:numId="14" w16cid:durableId="768086336">
    <w:abstractNumId w:val="10"/>
  </w:num>
  <w:num w:numId="15" w16cid:durableId="866406148">
    <w:abstractNumId w:val="5"/>
  </w:num>
  <w:num w:numId="16" w16cid:durableId="979728236">
    <w:abstractNumId w:val="2"/>
  </w:num>
  <w:num w:numId="17" w16cid:durableId="1918633663">
    <w:abstractNumId w:val="1"/>
  </w:num>
  <w:num w:numId="18" w16cid:durableId="747073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585E"/>
    <w:rsid w:val="0000652B"/>
    <w:rsid w:val="00006E8F"/>
    <w:rsid w:val="00007939"/>
    <w:rsid w:val="00010D8E"/>
    <w:rsid w:val="0001360F"/>
    <w:rsid w:val="00017727"/>
    <w:rsid w:val="00017A26"/>
    <w:rsid w:val="00020A99"/>
    <w:rsid w:val="00024F24"/>
    <w:rsid w:val="00025FE8"/>
    <w:rsid w:val="000266F2"/>
    <w:rsid w:val="00031976"/>
    <w:rsid w:val="00034960"/>
    <w:rsid w:val="00035351"/>
    <w:rsid w:val="00036EA9"/>
    <w:rsid w:val="0004203F"/>
    <w:rsid w:val="0004799C"/>
    <w:rsid w:val="000537F6"/>
    <w:rsid w:val="000560DA"/>
    <w:rsid w:val="00061C35"/>
    <w:rsid w:val="00065EE2"/>
    <w:rsid w:val="0006602B"/>
    <w:rsid w:val="00074302"/>
    <w:rsid w:val="00083B5C"/>
    <w:rsid w:val="00084A5D"/>
    <w:rsid w:val="000877A7"/>
    <w:rsid w:val="00087E77"/>
    <w:rsid w:val="00090A7C"/>
    <w:rsid w:val="00094616"/>
    <w:rsid w:val="00094EB7"/>
    <w:rsid w:val="000978C1"/>
    <w:rsid w:val="000A1A31"/>
    <w:rsid w:val="000B0BCB"/>
    <w:rsid w:val="000C25B5"/>
    <w:rsid w:val="000C58F9"/>
    <w:rsid w:val="000D404F"/>
    <w:rsid w:val="000F11F1"/>
    <w:rsid w:val="000F6C77"/>
    <w:rsid w:val="001039D9"/>
    <w:rsid w:val="001054F0"/>
    <w:rsid w:val="00106F36"/>
    <w:rsid w:val="00111A3B"/>
    <w:rsid w:val="00111BB1"/>
    <w:rsid w:val="00112E37"/>
    <w:rsid w:val="001137AF"/>
    <w:rsid w:val="00124525"/>
    <w:rsid w:val="00130EA6"/>
    <w:rsid w:val="001342FE"/>
    <w:rsid w:val="00140828"/>
    <w:rsid w:val="0014741C"/>
    <w:rsid w:val="001618A3"/>
    <w:rsid w:val="00167629"/>
    <w:rsid w:val="001702E0"/>
    <w:rsid w:val="001705C5"/>
    <w:rsid w:val="00171F3F"/>
    <w:rsid w:val="00177337"/>
    <w:rsid w:val="001778C3"/>
    <w:rsid w:val="0018220D"/>
    <w:rsid w:val="00184646"/>
    <w:rsid w:val="00187887"/>
    <w:rsid w:val="00195A64"/>
    <w:rsid w:val="001A4244"/>
    <w:rsid w:val="001A55F2"/>
    <w:rsid w:val="001A63DD"/>
    <w:rsid w:val="001C3D5C"/>
    <w:rsid w:val="001C5876"/>
    <w:rsid w:val="001C7533"/>
    <w:rsid w:val="001D28C9"/>
    <w:rsid w:val="001D4463"/>
    <w:rsid w:val="001D530B"/>
    <w:rsid w:val="001E1094"/>
    <w:rsid w:val="001E2E21"/>
    <w:rsid w:val="001E3B63"/>
    <w:rsid w:val="001E5321"/>
    <w:rsid w:val="001E55EC"/>
    <w:rsid w:val="001E5728"/>
    <w:rsid w:val="001E5A73"/>
    <w:rsid w:val="001F014E"/>
    <w:rsid w:val="001F7E8C"/>
    <w:rsid w:val="001F7FE9"/>
    <w:rsid w:val="00202CC4"/>
    <w:rsid w:val="002042AF"/>
    <w:rsid w:val="00204F82"/>
    <w:rsid w:val="00205B00"/>
    <w:rsid w:val="00212952"/>
    <w:rsid w:val="00212EA7"/>
    <w:rsid w:val="002203FC"/>
    <w:rsid w:val="00221574"/>
    <w:rsid w:val="0022297F"/>
    <w:rsid w:val="0022491D"/>
    <w:rsid w:val="00241E78"/>
    <w:rsid w:val="00242434"/>
    <w:rsid w:val="002437A9"/>
    <w:rsid w:val="00243B3E"/>
    <w:rsid w:val="00243EFC"/>
    <w:rsid w:val="00245501"/>
    <w:rsid w:val="00246D68"/>
    <w:rsid w:val="002514F2"/>
    <w:rsid w:val="002528A0"/>
    <w:rsid w:val="0025657B"/>
    <w:rsid w:val="00256920"/>
    <w:rsid w:val="00262F05"/>
    <w:rsid w:val="002640AF"/>
    <w:rsid w:val="00264168"/>
    <w:rsid w:val="002661CA"/>
    <w:rsid w:val="0026656D"/>
    <w:rsid w:val="002736D9"/>
    <w:rsid w:val="00283418"/>
    <w:rsid w:val="00284ACA"/>
    <w:rsid w:val="00286685"/>
    <w:rsid w:val="002A174B"/>
    <w:rsid w:val="002A46CB"/>
    <w:rsid w:val="002A4EBC"/>
    <w:rsid w:val="002A76B1"/>
    <w:rsid w:val="002C1362"/>
    <w:rsid w:val="002C3A7B"/>
    <w:rsid w:val="002C67E1"/>
    <w:rsid w:val="002D1618"/>
    <w:rsid w:val="002D1846"/>
    <w:rsid w:val="002D2EE3"/>
    <w:rsid w:val="002D3F2D"/>
    <w:rsid w:val="002D758A"/>
    <w:rsid w:val="002E12D6"/>
    <w:rsid w:val="002E42F4"/>
    <w:rsid w:val="002E4745"/>
    <w:rsid w:val="002F3068"/>
    <w:rsid w:val="002F3092"/>
    <w:rsid w:val="002F5324"/>
    <w:rsid w:val="002F68B4"/>
    <w:rsid w:val="002F6F23"/>
    <w:rsid w:val="00312106"/>
    <w:rsid w:val="00314C62"/>
    <w:rsid w:val="003153D3"/>
    <w:rsid w:val="00320CFA"/>
    <w:rsid w:val="0032275C"/>
    <w:rsid w:val="003260A6"/>
    <w:rsid w:val="003304BF"/>
    <w:rsid w:val="00331091"/>
    <w:rsid w:val="00337C3B"/>
    <w:rsid w:val="003459EA"/>
    <w:rsid w:val="00346897"/>
    <w:rsid w:val="003569B5"/>
    <w:rsid w:val="00364F9C"/>
    <w:rsid w:val="00370B5E"/>
    <w:rsid w:val="00374F20"/>
    <w:rsid w:val="003753FE"/>
    <w:rsid w:val="00380D6A"/>
    <w:rsid w:val="00382A63"/>
    <w:rsid w:val="00387B77"/>
    <w:rsid w:val="00392397"/>
    <w:rsid w:val="00396CF4"/>
    <w:rsid w:val="00397BC9"/>
    <w:rsid w:val="003B1A7D"/>
    <w:rsid w:val="003B23EC"/>
    <w:rsid w:val="003B4EDF"/>
    <w:rsid w:val="003E17B9"/>
    <w:rsid w:val="003E246D"/>
    <w:rsid w:val="003E25A2"/>
    <w:rsid w:val="003E40D5"/>
    <w:rsid w:val="003E7B75"/>
    <w:rsid w:val="003F1595"/>
    <w:rsid w:val="003F6040"/>
    <w:rsid w:val="003F65C3"/>
    <w:rsid w:val="00400C22"/>
    <w:rsid w:val="004019B9"/>
    <w:rsid w:val="00402982"/>
    <w:rsid w:val="004033AA"/>
    <w:rsid w:val="004062B5"/>
    <w:rsid w:val="00406A2B"/>
    <w:rsid w:val="00406D71"/>
    <w:rsid w:val="004115D5"/>
    <w:rsid w:val="004131D5"/>
    <w:rsid w:val="00422A04"/>
    <w:rsid w:val="00424E37"/>
    <w:rsid w:val="00425C4F"/>
    <w:rsid w:val="00430C83"/>
    <w:rsid w:val="00435B30"/>
    <w:rsid w:val="00440614"/>
    <w:rsid w:val="00444F4E"/>
    <w:rsid w:val="00450991"/>
    <w:rsid w:val="00452909"/>
    <w:rsid w:val="00454D61"/>
    <w:rsid w:val="00455D40"/>
    <w:rsid w:val="00457025"/>
    <w:rsid w:val="004605AC"/>
    <w:rsid w:val="004707A2"/>
    <w:rsid w:val="0048149C"/>
    <w:rsid w:val="004847DE"/>
    <w:rsid w:val="00487A8A"/>
    <w:rsid w:val="00493F3F"/>
    <w:rsid w:val="00497505"/>
    <w:rsid w:val="004A27CA"/>
    <w:rsid w:val="004A3A63"/>
    <w:rsid w:val="004B530D"/>
    <w:rsid w:val="004C064A"/>
    <w:rsid w:val="004D0845"/>
    <w:rsid w:val="004D370C"/>
    <w:rsid w:val="004D5F4D"/>
    <w:rsid w:val="004D6F6B"/>
    <w:rsid w:val="004E145F"/>
    <w:rsid w:val="004E2DDE"/>
    <w:rsid w:val="004E3DEB"/>
    <w:rsid w:val="004E4604"/>
    <w:rsid w:val="004E5C45"/>
    <w:rsid w:val="004E5C5E"/>
    <w:rsid w:val="004E601C"/>
    <w:rsid w:val="004F23AD"/>
    <w:rsid w:val="004F592B"/>
    <w:rsid w:val="004F62A1"/>
    <w:rsid w:val="005067C5"/>
    <w:rsid w:val="00511199"/>
    <w:rsid w:val="00511D90"/>
    <w:rsid w:val="00514C7D"/>
    <w:rsid w:val="00515B49"/>
    <w:rsid w:val="00523763"/>
    <w:rsid w:val="00525928"/>
    <w:rsid w:val="00531B68"/>
    <w:rsid w:val="00533166"/>
    <w:rsid w:val="00533FDA"/>
    <w:rsid w:val="005362AD"/>
    <w:rsid w:val="0054047E"/>
    <w:rsid w:val="00541059"/>
    <w:rsid w:val="005447B0"/>
    <w:rsid w:val="00553D93"/>
    <w:rsid w:val="005671AB"/>
    <w:rsid w:val="00571230"/>
    <w:rsid w:val="00571D8C"/>
    <w:rsid w:val="00575041"/>
    <w:rsid w:val="005842BA"/>
    <w:rsid w:val="00595DC3"/>
    <w:rsid w:val="005A1D0F"/>
    <w:rsid w:val="005B552B"/>
    <w:rsid w:val="005D27E8"/>
    <w:rsid w:val="005E4E5A"/>
    <w:rsid w:val="005E55EA"/>
    <w:rsid w:val="005E5FA9"/>
    <w:rsid w:val="005E75B6"/>
    <w:rsid w:val="005E7C94"/>
    <w:rsid w:val="0060278B"/>
    <w:rsid w:val="00604627"/>
    <w:rsid w:val="00606FC7"/>
    <w:rsid w:val="00611138"/>
    <w:rsid w:val="00612E44"/>
    <w:rsid w:val="006200B1"/>
    <w:rsid w:val="00624370"/>
    <w:rsid w:val="00630254"/>
    <w:rsid w:val="00634250"/>
    <w:rsid w:val="0063714F"/>
    <w:rsid w:val="00637DA0"/>
    <w:rsid w:val="00660C5E"/>
    <w:rsid w:val="00661EB3"/>
    <w:rsid w:val="00662230"/>
    <w:rsid w:val="00663C5E"/>
    <w:rsid w:val="0066520E"/>
    <w:rsid w:val="00666ADD"/>
    <w:rsid w:val="00670AFC"/>
    <w:rsid w:val="0067245C"/>
    <w:rsid w:val="006726E9"/>
    <w:rsid w:val="006851BC"/>
    <w:rsid w:val="00685577"/>
    <w:rsid w:val="00686E5F"/>
    <w:rsid w:val="00696C1A"/>
    <w:rsid w:val="006A0D39"/>
    <w:rsid w:val="006A19EC"/>
    <w:rsid w:val="006A6022"/>
    <w:rsid w:val="006B0898"/>
    <w:rsid w:val="006B0964"/>
    <w:rsid w:val="006B0C05"/>
    <w:rsid w:val="006C17EA"/>
    <w:rsid w:val="006C1AA1"/>
    <w:rsid w:val="006D1576"/>
    <w:rsid w:val="006D2723"/>
    <w:rsid w:val="006E28A9"/>
    <w:rsid w:val="006F1984"/>
    <w:rsid w:val="006F3AA7"/>
    <w:rsid w:val="006F5771"/>
    <w:rsid w:val="006F6F55"/>
    <w:rsid w:val="006F7CD6"/>
    <w:rsid w:val="00701725"/>
    <w:rsid w:val="00701F3B"/>
    <w:rsid w:val="00702163"/>
    <w:rsid w:val="00712705"/>
    <w:rsid w:val="00714DFD"/>
    <w:rsid w:val="007171AF"/>
    <w:rsid w:val="00726161"/>
    <w:rsid w:val="00731F49"/>
    <w:rsid w:val="00737032"/>
    <w:rsid w:val="00741E3C"/>
    <w:rsid w:val="0074647E"/>
    <w:rsid w:val="00751FFC"/>
    <w:rsid w:val="00755639"/>
    <w:rsid w:val="007560DC"/>
    <w:rsid w:val="00762526"/>
    <w:rsid w:val="00765433"/>
    <w:rsid w:val="00765E19"/>
    <w:rsid w:val="0077033D"/>
    <w:rsid w:val="007723A7"/>
    <w:rsid w:val="00772634"/>
    <w:rsid w:val="007743BF"/>
    <w:rsid w:val="00774E17"/>
    <w:rsid w:val="00781FBF"/>
    <w:rsid w:val="007A1076"/>
    <w:rsid w:val="007A7847"/>
    <w:rsid w:val="007B072A"/>
    <w:rsid w:val="007B11B8"/>
    <w:rsid w:val="007B3864"/>
    <w:rsid w:val="007B56AF"/>
    <w:rsid w:val="007B7B30"/>
    <w:rsid w:val="007C21CE"/>
    <w:rsid w:val="007C64EB"/>
    <w:rsid w:val="007C6E7A"/>
    <w:rsid w:val="007D0F84"/>
    <w:rsid w:val="007E55FF"/>
    <w:rsid w:val="007E7D9F"/>
    <w:rsid w:val="007F25ED"/>
    <w:rsid w:val="008038B5"/>
    <w:rsid w:val="00806A43"/>
    <w:rsid w:val="00807D7A"/>
    <w:rsid w:val="008136EE"/>
    <w:rsid w:val="00813EB9"/>
    <w:rsid w:val="00816BB1"/>
    <w:rsid w:val="008256EE"/>
    <w:rsid w:val="00830B0B"/>
    <w:rsid w:val="00832330"/>
    <w:rsid w:val="00835F53"/>
    <w:rsid w:val="00855828"/>
    <w:rsid w:val="00860371"/>
    <w:rsid w:val="00863F31"/>
    <w:rsid w:val="00866DC8"/>
    <w:rsid w:val="008709FE"/>
    <w:rsid w:val="008775A9"/>
    <w:rsid w:val="008826B1"/>
    <w:rsid w:val="00887BBC"/>
    <w:rsid w:val="0089330F"/>
    <w:rsid w:val="008959BB"/>
    <w:rsid w:val="008971C2"/>
    <w:rsid w:val="008A120E"/>
    <w:rsid w:val="008C14B3"/>
    <w:rsid w:val="008C2F4C"/>
    <w:rsid w:val="008D6884"/>
    <w:rsid w:val="008E6E29"/>
    <w:rsid w:val="008F63CA"/>
    <w:rsid w:val="008F75AF"/>
    <w:rsid w:val="0090175B"/>
    <w:rsid w:val="00910EB6"/>
    <w:rsid w:val="00915AD3"/>
    <w:rsid w:val="00917CA4"/>
    <w:rsid w:val="0092213A"/>
    <w:rsid w:val="00925B40"/>
    <w:rsid w:val="009262D1"/>
    <w:rsid w:val="009306C3"/>
    <w:rsid w:val="00930A9E"/>
    <w:rsid w:val="00932E22"/>
    <w:rsid w:val="009348A7"/>
    <w:rsid w:val="00936523"/>
    <w:rsid w:val="00943542"/>
    <w:rsid w:val="0095049B"/>
    <w:rsid w:val="009506FD"/>
    <w:rsid w:val="00951932"/>
    <w:rsid w:val="00961BF4"/>
    <w:rsid w:val="00966A37"/>
    <w:rsid w:val="00967DB5"/>
    <w:rsid w:val="00970A0C"/>
    <w:rsid w:val="00973935"/>
    <w:rsid w:val="00974104"/>
    <w:rsid w:val="009809D2"/>
    <w:rsid w:val="009960DC"/>
    <w:rsid w:val="0099621B"/>
    <w:rsid w:val="009B5818"/>
    <w:rsid w:val="009B70DD"/>
    <w:rsid w:val="009C07C1"/>
    <w:rsid w:val="009C2D25"/>
    <w:rsid w:val="009C5DF6"/>
    <w:rsid w:val="009C7265"/>
    <w:rsid w:val="009E07F8"/>
    <w:rsid w:val="009E0D2C"/>
    <w:rsid w:val="009E1554"/>
    <w:rsid w:val="009E4ED0"/>
    <w:rsid w:val="009E7B92"/>
    <w:rsid w:val="009F0694"/>
    <w:rsid w:val="009F12BE"/>
    <w:rsid w:val="00A04CCF"/>
    <w:rsid w:val="00A052FE"/>
    <w:rsid w:val="00A10429"/>
    <w:rsid w:val="00A16834"/>
    <w:rsid w:val="00A17BBB"/>
    <w:rsid w:val="00A220BB"/>
    <w:rsid w:val="00A25369"/>
    <w:rsid w:val="00A26C53"/>
    <w:rsid w:val="00A2745B"/>
    <w:rsid w:val="00A30F52"/>
    <w:rsid w:val="00A31B63"/>
    <w:rsid w:val="00A3364B"/>
    <w:rsid w:val="00A357A5"/>
    <w:rsid w:val="00A40709"/>
    <w:rsid w:val="00A551D3"/>
    <w:rsid w:val="00A73A8D"/>
    <w:rsid w:val="00A850AA"/>
    <w:rsid w:val="00A915B7"/>
    <w:rsid w:val="00AA1A7B"/>
    <w:rsid w:val="00AA7058"/>
    <w:rsid w:val="00AA7A8A"/>
    <w:rsid w:val="00AB0D1D"/>
    <w:rsid w:val="00AB3A83"/>
    <w:rsid w:val="00AD1924"/>
    <w:rsid w:val="00AD3042"/>
    <w:rsid w:val="00AD3AFA"/>
    <w:rsid w:val="00AD6A98"/>
    <w:rsid w:val="00AD7312"/>
    <w:rsid w:val="00AE010B"/>
    <w:rsid w:val="00AE0C14"/>
    <w:rsid w:val="00AE1A51"/>
    <w:rsid w:val="00AE2249"/>
    <w:rsid w:val="00AF6D32"/>
    <w:rsid w:val="00B1105F"/>
    <w:rsid w:val="00B20957"/>
    <w:rsid w:val="00B21095"/>
    <w:rsid w:val="00B23B75"/>
    <w:rsid w:val="00B23D30"/>
    <w:rsid w:val="00B25663"/>
    <w:rsid w:val="00B265D3"/>
    <w:rsid w:val="00B306CE"/>
    <w:rsid w:val="00B362EF"/>
    <w:rsid w:val="00B364C5"/>
    <w:rsid w:val="00B40E12"/>
    <w:rsid w:val="00B422BD"/>
    <w:rsid w:val="00B475EA"/>
    <w:rsid w:val="00B47EC7"/>
    <w:rsid w:val="00B51FD7"/>
    <w:rsid w:val="00B54403"/>
    <w:rsid w:val="00B6250A"/>
    <w:rsid w:val="00B6386E"/>
    <w:rsid w:val="00B71A7A"/>
    <w:rsid w:val="00B77662"/>
    <w:rsid w:val="00B831E1"/>
    <w:rsid w:val="00B91471"/>
    <w:rsid w:val="00B91867"/>
    <w:rsid w:val="00B930E6"/>
    <w:rsid w:val="00B949D8"/>
    <w:rsid w:val="00B95D2E"/>
    <w:rsid w:val="00B9656D"/>
    <w:rsid w:val="00BA0688"/>
    <w:rsid w:val="00BA1E3C"/>
    <w:rsid w:val="00BA66B0"/>
    <w:rsid w:val="00BC68B0"/>
    <w:rsid w:val="00BD28AB"/>
    <w:rsid w:val="00BE0E74"/>
    <w:rsid w:val="00BE2F6B"/>
    <w:rsid w:val="00BF0D72"/>
    <w:rsid w:val="00BF44F2"/>
    <w:rsid w:val="00BF56B2"/>
    <w:rsid w:val="00C0071C"/>
    <w:rsid w:val="00C0376D"/>
    <w:rsid w:val="00C03F4E"/>
    <w:rsid w:val="00C058BF"/>
    <w:rsid w:val="00C0602E"/>
    <w:rsid w:val="00C0737D"/>
    <w:rsid w:val="00C13C52"/>
    <w:rsid w:val="00C16C3E"/>
    <w:rsid w:val="00C2111E"/>
    <w:rsid w:val="00C225D6"/>
    <w:rsid w:val="00C26198"/>
    <w:rsid w:val="00C31128"/>
    <w:rsid w:val="00C37820"/>
    <w:rsid w:val="00C42771"/>
    <w:rsid w:val="00C43531"/>
    <w:rsid w:val="00C44143"/>
    <w:rsid w:val="00C53D77"/>
    <w:rsid w:val="00C6008D"/>
    <w:rsid w:val="00C600D4"/>
    <w:rsid w:val="00C61D07"/>
    <w:rsid w:val="00C62D35"/>
    <w:rsid w:val="00C63195"/>
    <w:rsid w:val="00C70779"/>
    <w:rsid w:val="00C71CB5"/>
    <w:rsid w:val="00C744E5"/>
    <w:rsid w:val="00C80D0B"/>
    <w:rsid w:val="00C8678C"/>
    <w:rsid w:val="00C86CFE"/>
    <w:rsid w:val="00C93260"/>
    <w:rsid w:val="00C94CCA"/>
    <w:rsid w:val="00CA1E55"/>
    <w:rsid w:val="00CA5AEA"/>
    <w:rsid w:val="00CA79C9"/>
    <w:rsid w:val="00CC0ACE"/>
    <w:rsid w:val="00CC1682"/>
    <w:rsid w:val="00CC5976"/>
    <w:rsid w:val="00CC5C03"/>
    <w:rsid w:val="00CD5A8F"/>
    <w:rsid w:val="00CD5B94"/>
    <w:rsid w:val="00CE0F30"/>
    <w:rsid w:val="00CE2926"/>
    <w:rsid w:val="00CE2AC8"/>
    <w:rsid w:val="00CE461C"/>
    <w:rsid w:val="00CE5340"/>
    <w:rsid w:val="00CE76EC"/>
    <w:rsid w:val="00CF6552"/>
    <w:rsid w:val="00CF7E56"/>
    <w:rsid w:val="00D051E9"/>
    <w:rsid w:val="00D079BD"/>
    <w:rsid w:val="00D11E88"/>
    <w:rsid w:val="00D12DA9"/>
    <w:rsid w:val="00D13DCA"/>
    <w:rsid w:val="00D15383"/>
    <w:rsid w:val="00D17D91"/>
    <w:rsid w:val="00D23FDD"/>
    <w:rsid w:val="00D26304"/>
    <w:rsid w:val="00D317E3"/>
    <w:rsid w:val="00D334FE"/>
    <w:rsid w:val="00D41D25"/>
    <w:rsid w:val="00D42260"/>
    <w:rsid w:val="00D44CB3"/>
    <w:rsid w:val="00D46655"/>
    <w:rsid w:val="00D46761"/>
    <w:rsid w:val="00D534C9"/>
    <w:rsid w:val="00D5517E"/>
    <w:rsid w:val="00D57558"/>
    <w:rsid w:val="00D60279"/>
    <w:rsid w:val="00D6059C"/>
    <w:rsid w:val="00D662FB"/>
    <w:rsid w:val="00D6750C"/>
    <w:rsid w:val="00D7582F"/>
    <w:rsid w:val="00D82735"/>
    <w:rsid w:val="00D83C74"/>
    <w:rsid w:val="00D8557A"/>
    <w:rsid w:val="00D9362F"/>
    <w:rsid w:val="00D96A40"/>
    <w:rsid w:val="00DA6505"/>
    <w:rsid w:val="00DB1BF6"/>
    <w:rsid w:val="00DB649E"/>
    <w:rsid w:val="00DD0838"/>
    <w:rsid w:val="00DD0A4C"/>
    <w:rsid w:val="00DD3760"/>
    <w:rsid w:val="00DF1EE6"/>
    <w:rsid w:val="00DF3ABD"/>
    <w:rsid w:val="00DF41FD"/>
    <w:rsid w:val="00E0074B"/>
    <w:rsid w:val="00E06D5B"/>
    <w:rsid w:val="00E13E66"/>
    <w:rsid w:val="00E20EE7"/>
    <w:rsid w:val="00E27AA8"/>
    <w:rsid w:val="00E34C72"/>
    <w:rsid w:val="00E37DFD"/>
    <w:rsid w:val="00E50919"/>
    <w:rsid w:val="00E54A87"/>
    <w:rsid w:val="00E57DEC"/>
    <w:rsid w:val="00E61C52"/>
    <w:rsid w:val="00E64878"/>
    <w:rsid w:val="00E64E2A"/>
    <w:rsid w:val="00E711CF"/>
    <w:rsid w:val="00E77DB9"/>
    <w:rsid w:val="00E911C3"/>
    <w:rsid w:val="00E92DE6"/>
    <w:rsid w:val="00E95A0B"/>
    <w:rsid w:val="00E95E99"/>
    <w:rsid w:val="00EA3F00"/>
    <w:rsid w:val="00EA595D"/>
    <w:rsid w:val="00EA7DD3"/>
    <w:rsid w:val="00EB3E57"/>
    <w:rsid w:val="00EB4570"/>
    <w:rsid w:val="00EB55E5"/>
    <w:rsid w:val="00ED111D"/>
    <w:rsid w:val="00ED2299"/>
    <w:rsid w:val="00ED378A"/>
    <w:rsid w:val="00ED6C47"/>
    <w:rsid w:val="00EE3505"/>
    <w:rsid w:val="00EE6E5D"/>
    <w:rsid w:val="00EF2110"/>
    <w:rsid w:val="00EF59DA"/>
    <w:rsid w:val="00F0788A"/>
    <w:rsid w:val="00F32358"/>
    <w:rsid w:val="00F34785"/>
    <w:rsid w:val="00F4449E"/>
    <w:rsid w:val="00F44E89"/>
    <w:rsid w:val="00F45A13"/>
    <w:rsid w:val="00F52A04"/>
    <w:rsid w:val="00F54E33"/>
    <w:rsid w:val="00F62494"/>
    <w:rsid w:val="00F66C12"/>
    <w:rsid w:val="00F7040F"/>
    <w:rsid w:val="00F72088"/>
    <w:rsid w:val="00F72A38"/>
    <w:rsid w:val="00F730CC"/>
    <w:rsid w:val="00F74C6E"/>
    <w:rsid w:val="00F75367"/>
    <w:rsid w:val="00F77806"/>
    <w:rsid w:val="00F821B8"/>
    <w:rsid w:val="00F832F0"/>
    <w:rsid w:val="00F852B3"/>
    <w:rsid w:val="00F91E0D"/>
    <w:rsid w:val="00F94D6E"/>
    <w:rsid w:val="00FA0A04"/>
    <w:rsid w:val="00FA6415"/>
    <w:rsid w:val="00FB2027"/>
    <w:rsid w:val="00FB208E"/>
    <w:rsid w:val="00FB2CEB"/>
    <w:rsid w:val="00FB4E8D"/>
    <w:rsid w:val="00FB737B"/>
    <w:rsid w:val="00FC12CF"/>
    <w:rsid w:val="00FC26C7"/>
    <w:rsid w:val="00FC3960"/>
    <w:rsid w:val="00FC47F6"/>
    <w:rsid w:val="00FC61D2"/>
    <w:rsid w:val="00FC7077"/>
    <w:rsid w:val="00FC7B88"/>
    <w:rsid w:val="00FD217B"/>
    <w:rsid w:val="00FE1137"/>
    <w:rsid w:val="00FE276B"/>
    <w:rsid w:val="00FE4450"/>
    <w:rsid w:val="00FF19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ACF2E742-A383-4D50-9997-5475AC9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clear" w:pos="1304"/>
        <w:tab w:val="left" w:pos="1701"/>
      </w:tabs>
      <w:ind w:left="1701" w:hanging="1701"/>
    </w:pPr>
    <w:rPr>
      <w:b/>
      <w:bCs/>
    </w:rPr>
  </w:style>
  <w:style w:type="paragraph" w:customStyle="1" w:styleId="Observation">
    <w:name w:val="Observation"/>
    <w:basedOn w:val="Proposal"/>
    <w:qFormat/>
    <w:rsid w:val="00FE276B"/>
    <w:pPr>
      <w:numPr>
        <w:numId w:val="3"/>
      </w:numPr>
      <w:ind w:left="1701" w:hanging="1701"/>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rsid w:val="00C37820"/>
    <w:rPr>
      <w:b/>
    </w:rPr>
  </w:style>
  <w:style w:type="paragraph" w:customStyle="1" w:styleId="TAC">
    <w:name w:val="TAC"/>
    <w:basedOn w:val="Normal"/>
    <w:link w:val="TACChar"/>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09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D07EDA20-2461-48D7-930B-1A230AB0F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purl.org/dc/terms/"/>
    <ds:schemaRef ds:uri="http://schemas.microsoft.com/office/infopath/2007/PartnerControls"/>
    <ds:schemaRef ds:uri="d8762117-8292-4133-b1c7-eab5c6487cfd"/>
    <ds:schemaRef ds:uri="http://schemas.microsoft.com/sharepoint/v3"/>
    <ds:schemaRef ds:uri="9b239327-9e80-40e4-b1b7-4394fed77a33"/>
    <ds:schemaRef ds:uri="http://schemas.microsoft.com/office/2006/documentManagement/types"/>
    <ds:schemaRef ds:uri="http://schemas.openxmlformats.org/package/2006/metadata/core-properties"/>
    <ds:schemaRef ds:uri="2f282d3b-eb4a-4b09-b61f-b9593442e286"/>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3044</TotalTime>
  <Pages>4</Pages>
  <Words>616</Words>
  <Characters>3516</Characters>
  <Application>Microsoft Office Word</Application>
  <DocSecurity>0</DocSecurity>
  <Lines>29</Lines>
  <Paragraphs>8</Paragraphs>
  <ScaleCrop>false</ScaleCrop>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Shubham Bhargava</cp:lastModifiedBy>
  <cp:revision>504</cp:revision>
  <dcterms:created xsi:type="dcterms:W3CDTF">2023-05-26T00:25:00Z</dcterms:created>
  <dcterms:modified xsi:type="dcterms:W3CDTF">2023-09-27T18:49:00Z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